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eastAsia" w:cs="Arial"/>
          <w:b/>
          <w:color w:val="auto"/>
          <w:sz w:val="20"/>
          <w:szCs w:val="20"/>
          <w:highlight w:val="none"/>
          <w:lang w:val="en-US" w:eastAsia="zh-CN"/>
        </w:rPr>
      </w:pPr>
      <w:bookmarkStart w:id="0" w:name="_Toc193024528"/>
      <w:r>
        <w:rPr>
          <w:rFonts w:hint="eastAsia" w:cs="Arial"/>
          <w:b/>
          <w:color w:val="auto"/>
          <w:sz w:val="20"/>
          <w:szCs w:val="20"/>
          <w:highlight w:val="none"/>
          <w:lang w:val="en-US" w:eastAsia="zh-CN"/>
        </w:rPr>
        <w:t>3GPP TSG-RAN WG4 Meeting # 99-e</w:t>
      </w:r>
      <w:r>
        <w:rPr>
          <w:rFonts w:hint="eastAsia" w:cs="Arial"/>
          <w:b/>
          <w:color w:val="auto"/>
          <w:sz w:val="20"/>
          <w:szCs w:val="20"/>
          <w:highlight w:val="none"/>
          <w:lang w:val="en-US" w:eastAsia="zh-CN"/>
        </w:rPr>
        <w:tab/>
      </w:r>
      <w:r>
        <w:rPr>
          <w:rFonts w:hint="eastAsia" w:cs="Arial"/>
          <w:b/>
          <w:color w:val="auto"/>
          <w:sz w:val="20"/>
          <w:szCs w:val="20"/>
          <w:highlight w:val="none"/>
          <w:lang w:val="en-US" w:eastAsia="zh-CN"/>
        </w:rPr>
        <w:t>R4-2110478</w:t>
      </w:r>
      <w:bookmarkStart w:id="1" w:name="_GoBack"/>
      <w:bookmarkEnd w:id="1"/>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cs="Arial"/>
          <w:b/>
          <w:color w:val="auto"/>
          <w:sz w:val="20"/>
          <w:szCs w:val="20"/>
          <w:highlight w:val="none"/>
          <w:lang w:val="en-US" w:eastAsia="zh-CN"/>
        </w:rPr>
      </w:pPr>
      <w:r>
        <w:rPr>
          <w:rFonts w:hint="eastAsia" w:cs="Arial"/>
          <w:b/>
          <w:color w:val="auto"/>
          <w:sz w:val="20"/>
          <w:szCs w:val="20"/>
          <w:highlight w:val="none"/>
          <w:lang w:val="en-US" w:eastAsia="zh-CN"/>
        </w:rPr>
        <w:t>Electronic Meeting, May. 19-27,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ascii="Arial" w:hAnsi="Arial" w:cs="Arial"/>
          <w:b w:val="0"/>
          <w:bCs/>
          <w:color w:val="auto"/>
          <w:sz w:val="20"/>
          <w:szCs w:val="20"/>
          <w:lang w:val="en-US" w:eastAsia="zh-CN"/>
        </w:rPr>
        <w:t>Further d</w:t>
      </w:r>
      <w:r>
        <w:rPr>
          <w:rFonts w:hint="default" w:ascii="Arial" w:hAnsi="Arial" w:cs="Arial"/>
          <w:b w:val="0"/>
          <w:bCs/>
          <w:color w:val="auto"/>
          <w:sz w:val="20"/>
          <w:szCs w:val="20"/>
        </w:rPr>
        <w:t>iscussion on Simultaneous RxTx</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8.44.2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last RAN #91e meeting, a new WID on the simultaneous Rx/Tx for the band combinations was approved. The objectives are cited as follow:</w:t>
      </w:r>
    </w:p>
    <w:p>
      <w:pPr>
        <w:keepNext/>
        <w:keepLines/>
        <w:pageBreakBefore w:val="0"/>
        <w:numPr>
          <w:ilvl w:val="0"/>
          <w:numId w:val="13"/>
        </w:numPr>
        <w:kinsoku/>
        <w:wordWrap/>
        <w:overflowPunct/>
        <w:topLinePunct w:val="0"/>
        <w:autoSpaceDE/>
        <w:autoSpaceDN/>
        <w:bidi w:val="0"/>
        <w:adjustRightInd/>
        <w:snapToGrid/>
        <w:spacing w:after="0"/>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Define clear principles for FDD-TDD or TDD-TDD band combinations for which can support or not support simultaneous Rx/Tx for FR1, FR2 and FR1+FR2.</w:t>
      </w:r>
    </w:p>
    <w:p>
      <w:pPr>
        <w:keepNext/>
        <w:keepLines/>
        <w:pageBreakBefore w:val="0"/>
        <w:numPr>
          <w:ilvl w:val="1"/>
          <w:numId w:val="13"/>
        </w:numPr>
        <w:kinsoku/>
        <w:wordWrap/>
        <w:overflowPunct/>
        <w:topLinePunct w:val="0"/>
        <w:autoSpaceDE/>
        <w:autoSpaceDN/>
        <w:bidi w:val="0"/>
        <w:adjustRightInd/>
        <w:snapToGrid/>
        <w:spacing w:after="0"/>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The principles should be studied firstly before detailed analysis carried out for specific band combinations</w:t>
      </w:r>
    </w:p>
    <w:p>
      <w:pPr>
        <w:keepNext/>
        <w:keepLines/>
        <w:pageBreakBefore w:val="0"/>
        <w:numPr>
          <w:ilvl w:val="0"/>
          <w:numId w:val="13"/>
        </w:numPr>
        <w:kinsoku/>
        <w:wordWrap/>
        <w:overflowPunct/>
        <w:topLinePunct w:val="0"/>
        <w:autoSpaceDE/>
        <w:autoSpaceDN/>
        <w:bidi w:val="0"/>
        <w:adjustRightInd/>
        <w:snapToGrid/>
        <w:spacing w:after="0"/>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Identify for each FDD-TDD and TDD-TDD band combinations for CA, SUL, MR-DC and simultaneous Rx/Tx capability NR-DC based on technical analysis in parallel with the basket WI intending to introduce the band combination.</w:t>
      </w:r>
    </w:p>
    <w:p>
      <w:pPr>
        <w:keepNext/>
        <w:keepLines/>
        <w:pageBreakBefore w:val="0"/>
        <w:numPr>
          <w:ilvl w:val="0"/>
          <w:numId w:val="13"/>
        </w:numPr>
        <w:kinsoku/>
        <w:wordWrap/>
        <w:overflowPunct/>
        <w:topLinePunct w:val="0"/>
        <w:autoSpaceDE/>
        <w:autoSpaceDN/>
        <w:bidi w:val="0"/>
        <w:adjustRightInd/>
        <w:snapToGrid/>
        <w:spacing w:after="0"/>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cs="Times New Roman"/>
          <w:bCs/>
          <w:color w:val="auto"/>
          <w:sz w:val="20"/>
          <w:szCs w:val="20"/>
        </w:rPr>
        <w:t>Align the specification treatment of simultaneous Rx/Tx capability for CA, SUL, MR-DC and NR-DC band combinations.</w:t>
      </w:r>
    </w:p>
    <w:p>
      <w:pPr>
        <w:keepNext/>
        <w:keepLines/>
        <w:pageBreakBefore w:val="0"/>
        <w:numPr>
          <w:ilvl w:val="0"/>
          <w:numId w:val="0"/>
        </w:numPr>
        <w:kinsoku/>
        <w:wordWrap/>
        <w:overflowPunct/>
        <w:topLinePunct w:val="0"/>
        <w:autoSpaceDE/>
        <w:autoSpaceDN/>
        <w:bidi w:val="0"/>
        <w:adjustRightInd/>
        <w:snapToGrid/>
        <w:spacing w:after="0"/>
        <w:ind w:left="360" w:leftChars="0"/>
        <w:rPr>
          <w:rFonts w:hint="default" w:ascii="Times New Roman" w:hAnsi="Times New Roman" w:cs="Times New Roman"/>
          <w:bCs/>
          <w:color w:val="auto"/>
          <w:sz w:val="20"/>
          <w:szCs w:val="20"/>
        </w:rPr>
      </w:pPr>
    </w:p>
    <w:p>
      <w:pPr>
        <w:keepNext/>
        <w:keepLines/>
        <w:pageBreakBefore w:val="0"/>
        <w:numPr>
          <w:ilvl w:val="0"/>
          <w:numId w:val="0"/>
        </w:numPr>
        <w:kinsoku/>
        <w:wordWrap/>
        <w:overflowPunct/>
        <w:topLinePunct w:val="0"/>
        <w:autoSpaceDE/>
        <w:autoSpaceDN/>
        <w:bidi w:val="0"/>
        <w:adjustRightInd/>
        <w:snapToGrid/>
        <w:spacing w:after="0"/>
        <w:ind w:left="0" w:leftChars="0"/>
        <w:rPr>
          <w:rFonts w:hint="default" w:ascii="Times New Roman" w:hAnsi="Times New Roman" w:eastAsia="宋体" w:cs="Times New Roman"/>
          <w:i w:val="0"/>
          <w:iCs w:val="0"/>
          <w:color w:val="auto"/>
          <w:sz w:val="20"/>
          <w:szCs w:val="20"/>
          <w:highlight w:val="none"/>
          <w:lang w:val="en-US" w:eastAsia="zh-CN"/>
        </w:rPr>
      </w:pPr>
      <w:r>
        <w:rPr>
          <w:rFonts w:hint="eastAsia" w:eastAsia="宋体" w:cs="Times New Roman"/>
          <w:i w:val="0"/>
          <w:iCs w:val="0"/>
          <w:color w:val="auto"/>
          <w:sz w:val="20"/>
          <w:szCs w:val="20"/>
          <w:highlight w:val="none"/>
          <w:lang w:val="en-US" w:eastAsia="zh-CN"/>
        </w:rPr>
        <w:t xml:space="preserve">And in last meeting, there were some discussions. In the end of the meeting, several open issues captured in the WF[2] are not solved. </w:t>
      </w:r>
      <w:r>
        <w:rPr>
          <w:rFonts w:hint="default" w:ascii="Times New Roman" w:hAnsi="Times New Roman" w:eastAsia="宋体" w:cs="Times New Roman"/>
          <w:i w:val="0"/>
          <w:iCs w:val="0"/>
          <w:color w:val="auto"/>
          <w:sz w:val="20"/>
          <w:szCs w:val="20"/>
          <w:highlight w:val="none"/>
          <w:lang w:val="en-US" w:eastAsia="zh-CN"/>
        </w:rPr>
        <w:t xml:space="preserve">In this contribution, we give some </w:t>
      </w:r>
      <w:r>
        <w:rPr>
          <w:rFonts w:hint="eastAsia" w:eastAsia="宋体" w:cs="Times New Roman"/>
          <w:i w:val="0"/>
          <w:iCs w:val="0"/>
          <w:color w:val="auto"/>
          <w:sz w:val="20"/>
          <w:szCs w:val="20"/>
          <w:highlight w:val="none"/>
          <w:lang w:val="en-US" w:eastAsia="zh-CN"/>
        </w:rPr>
        <w:t xml:space="preserve">futher </w:t>
      </w:r>
      <w:r>
        <w:rPr>
          <w:rFonts w:hint="default" w:ascii="Times New Roman" w:hAnsi="Times New Roman" w:eastAsia="宋体" w:cs="Times New Roman"/>
          <w:i w:val="0"/>
          <w:iCs w:val="0"/>
          <w:color w:val="auto"/>
          <w:sz w:val="20"/>
          <w:szCs w:val="20"/>
          <w:highlight w:val="none"/>
          <w:lang w:val="en-US" w:eastAsia="zh-CN"/>
        </w:rPr>
        <w:t>discussions</w:t>
      </w:r>
      <w:r>
        <w:rPr>
          <w:rFonts w:hint="eastAsia" w:eastAsia="宋体" w:cs="Times New Roman"/>
          <w:i w:val="0"/>
          <w:iCs w:val="0"/>
          <w:color w:val="auto"/>
          <w:sz w:val="20"/>
          <w:szCs w:val="20"/>
          <w:highlight w:val="none"/>
          <w:lang w:val="en-US" w:eastAsia="zh-CN"/>
        </w:rPr>
        <w:t xml:space="preserve"> on some open issues</w:t>
      </w:r>
      <w:r>
        <w:rPr>
          <w:rFonts w:hint="default" w:ascii="Times New Roman" w:hAnsi="Times New Roman" w:eastAsia="宋体" w:cs="Times New Roman"/>
          <w:i w:val="0"/>
          <w:iCs w:val="0"/>
          <w:color w:val="auto"/>
          <w:sz w:val="20"/>
          <w:szCs w:val="20"/>
          <w:highlight w:val="none"/>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Since the WID includes different types band combination, therefore we separate the discussion in the following sections.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2.1</w:t>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inter-band NR CA v.s. inter-band NR DC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In light of the TS38.101-1, the band combination specific RF requirements for NR DC are reused from the corresponding NR CA, which means the NR DC band combination work cannot be started without the corresponding NR CA. The introduction of NR DC band combination into the spec is very simple, just add the configuration and the maximum output power, i.e. no spurious emission, no  delta T/R and no MSD are required for NR DC since they are reused from the corresponding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Therefore, we think NR DC and the corresponding NR CA share the same simultaneous Rx/Tx capability. Otherwise, there may exist some problems. For example, for TDD-TDD NR CA_nX-nY and DC_nX-nY, if simultaneous Rx/Tx capability is supported for CA_nX-nY, while non-simultaneous Rx/Tx capability is supported for DC_nX-nY. Then for CA_nX-nY, there may exist MSD issues(such as cross band isolation MSD) due to simultaneous Rx/Tx capability, but there are no MSD issues for DC_nX-nY since non-simultaneous Rx/Tx capability is supported. In this case, the NR CA band combination specific RF requirements cannot be reused for NR DC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1: Same simultaneous Rx/Tx capability for NR </w:t>
      </w:r>
      <w:r>
        <w:rPr>
          <w:rFonts w:hint="eastAsia" w:eastAsia="宋体" w:cs="Times New Roman"/>
          <w:b/>
          <w:bCs/>
          <w:color w:val="auto"/>
          <w:sz w:val="20"/>
          <w:szCs w:val="20"/>
          <w:highlight w:val="none"/>
          <w:lang w:val="en-US" w:eastAsia="zh-CN"/>
        </w:rPr>
        <w:t>CA</w:t>
      </w:r>
      <w:r>
        <w:rPr>
          <w:rFonts w:hint="default" w:ascii="Times New Roman" w:hAnsi="Times New Roman" w:eastAsia="宋体" w:cs="Times New Roman"/>
          <w:b/>
          <w:bCs/>
          <w:color w:val="auto"/>
          <w:sz w:val="20"/>
          <w:szCs w:val="20"/>
          <w:highlight w:val="none"/>
          <w:lang w:val="en-US" w:eastAsia="zh-CN"/>
        </w:rPr>
        <w:t xml:space="preserve"> band combination </w:t>
      </w:r>
      <w:r>
        <w:rPr>
          <w:rFonts w:hint="eastAsia" w:eastAsia="宋体" w:cs="Times New Roman"/>
          <w:b/>
          <w:bCs/>
          <w:color w:val="auto"/>
          <w:sz w:val="20"/>
          <w:szCs w:val="20"/>
          <w:highlight w:val="none"/>
          <w:lang w:val="en-US" w:eastAsia="zh-CN"/>
        </w:rPr>
        <w:t xml:space="preserve"> can be applied for</w:t>
      </w:r>
      <w:r>
        <w:rPr>
          <w:rFonts w:hint="default" w:ascii="Times New Roman" w:hAnsi="Times New Roman" w:eastAsia="宋体" w:cs="Times New Roman"/>
          <w:b/>
          <w:bCs/>
          <w:color w:val="auto"/>
          <w:sz w:val="20"/>
          <w:szCs w:val="20"/>
          <w:highlight w:val="none"/>
          <w:lang w:val="en-US" w:eastAsia="zh-CN"/>
        </w:rPr>
        <w:t xml:space="preserve"> the corresponding inter-band NR </w:t>
      </w:r>
      <w:r>
        <w:rPr>
          <w:rFonts w:hint="eastAsia" w:eastAsia="宋体" w:cs="Times New Roman"/>
          <w:b/>
          <w:bCs/>
          <w:color w:val="auto"/>
          <w:sz w:val="20"/>
          <w:szCs w:val="20"/>
          <w:highlight w:val="none"/>
          <w:lang w:val="en-US" w:eastAsia="zh-CN"/>
        </w:rPr>
        <w:t>DC</w:t>
      </w:r>
      <w:r>
        <w:rPr>
          <w:rFonts w:hint="default" w:ascii="Times New Roman" w:hAnsi="Times New Roman" w:eastAsia="宋体" w:cs="Times New Roman"/>
          <w:b/>
          <w:bCs/>
          <w:color w:val="auto"/>
          <w:sz w:val="20"/>
          <w:szCs w:val="20"/>
          <w:highlight w:val="none"/>
          <w:lang w:val="en-US" w:eastAsia="zh-CN"/>
        </w:rPr>
        <w:t xml:space="preserve">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2.2</w:t>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inter-band NR CA v.s. inter-band ENDC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Actually, when companies provide the TP for inter-band NR CA combination, usually refer to the requirements of the corresponding inter-band ENDC combination. It may be easily understanding that the </w:t>
      </w:r>
      <w:r>
        <w:rPr>
          <w:rFonts w:hint="eastAsia" w:ascii="Times New Roman" w:hAnsi="Times New Roman" w:eastAsia="宋体" w:cs="Times New Roman"/>
          <w:b w:val="0"/>
          <w:bCs w:val="0"/>
          <w:color w:val="auto"/>
          <w:sz w:val="20"/>
          <w:szCs w:val="20"/>
          <w:highlight w:val="none"/>
          <w:lang w:val="en-US" w:eastAsia="zh-CN"/>
        </w:rPr>
        <w:t xml:space="preserve">same </w:t>
      </w:r>
      <w:r>
        <w:rPr>
          <w:rFonts w:hint="default" w:ascii="Times New Roman" w:hAnsi="Times New Roman" w:eastAsia="宋体" w:cs="Times New Roman"/>
          <w:b w:val="0"/>
          <w:bCs w:val="0"/>
          <w:color w:val="auto"/>
          <w:sz w:val="20"/>
          <w:szCs w:val="20"/>
          <w:highlight w:val="none"/>
          <w:lang w:val="en-US" w:eastAsia="zh-CN"/>
        </w:rPr>
        <w:t xml:space="preserve">RF architecture are usually </w:t>
      </w:r>
      <w:r>
        <w:rPr>
          <w:rFonts w:hint="eastAsia" w:ascii="Times New Roman" w:hAnsi="Times New Roman" w:eastAsia="宋体" w:cs="Times New Roman"/>
          <w:b w:val="0"/>
          <w:bCs w:val="0"/>
          <w:color w:val="auto"/>
          <w:sz w:val="20"/>
          <w:szCs w:val="20"/>
          <w:highlight w:val="none"/>
          <w:lang w:val="en-US" w:eastAsia="zh-CN"/>
        </w:rPr>
        <w:t xml:space="preserve">applied </w:t>
      </w:r>
      <w:r>
        <w:rPr>
          <w:rFonts w:hint="default" w:ascii="Times New Roman" w:hAnsi="Times New Roman" w:eastAsia="宋体" w:cs="Times New Roman"/>
          <w:b w:val="0"/>
          <w:bCs w:val="0"/>
          <w:color w:val="auto"/>
          <w:sz w:val="20"/>
          <w:szCs w:val="20"/>
          <w:highlight w:val="none"/>
          <w:lang w:val="en-US" w:eastAsia="zh-CN"/>
        </w:rPr>
        <w:t>for inter-band NR CA and the corresponding inter-band ENDC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Proposal 2: Same simultaneous Rx/Tx capability for inter-band ENDC band combination</w:t>
      </w:r>
      <w:r>
        <w:rPr>
          <w:rFonts w:hint="eastAsia" w:eastAsia="宋体" w:cs="Times New Roman"/>
          <w:b/>
          <w:bCs/>
          <w:color w:val="auto"/>
          <w:sz w:val="20"/>
          <w:szCs w:val="20"/>
          <w:highlight w:val="none"/>
          <w:lang w:val="en-US" w:eastAsia="zh-CN"/>
        </w:rPr>
        <w:t xml:space="preserve"> can be applied for </w:t>
      </w:r>
      <w:r>
        <w:rPr>
          <w:rFonts w:hint="default" w:ascii="Times New Roman" w:hAnsi="Times New Roman" w:eastAsia="宋体" w:cs="Times New Roman"/>
          <w:b/>
          <w:bCs/>
          <w:color w:val="auto"/>
          <w:sz w:val="20"/>
          <w:szCs w:val="20"/>
          <w:highlight w:val="none"/>
          <w:lang w:val="en-US" w:eastAsia="zh-CN"/>
        </w:rPr>
        <w:t xml:space="preserve">the corresponding inter-band </w:t>
      </w:r>
      <w:r>
        <w:rPr>
          <w:rFonts w:hint="eastAsia" w:eastAsia="宋体" w:cs="Times New Roman"/>
          <w:b/>
          <w:bCs/>
          <w:color w:val="auto"/>
          <w:sz w:val="20"/>
          <w:szCs w:val="20"/>
          <w:highlight w:val="none"/>
          <w:lang w:val="en-US" w:eastAsia="zh-CN"/>
        </w:rPr>
        <w:t>NR CA</w:t>
      </w:r>
      <w:r>
        <w:rPr>
          <w:rFonts w:hint="default" w:ascii="Times New Roman" w:hAnsi="Times New Roman" w:eastAsia="宋体" w:cs="Times New Roman"/>
          <w:b/>
          <w:bCs/>
          <w:color w:val="auto"/>
          <w:sz w:val="20"/>
          <w:szCs w:val="20"/>
          <w:highlight w:val="none"/>
          <w:lang w:val="en-US" w:eastAsia="zh-CN"/>
        </w:rPr>
        <w:t xml:space="preserve">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2.3 </w:t>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FDD+TDD NR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Unlike LTE CA, simultaneous Rx/Tx capability is also applied for NR FDD+TDD NR CA band combination, including both FR1+FR1 and FR</w:t>
      </w:r>
      <w:r>
        <w:rPr>
          <w:rFonts w:hint="eastAsia" w:ascii="Times New Roman" w:hAnsi="Times New Roman" w:eastAsia="宋体" w:cs="Times New Roman"/>
          <w:b w:val="0"/>
          <w:bCs w:val="0"/>
          <w:color w:val="auto"/>
          <w:sz w:val="20"/>
          <w:szCs w:val="20"/>
          <w:highlight w:val="none"/>
          <w:lang w:val="en-US" w:eastAsia="zh-CN"/>
        </w:rPr>
        <w:t>1+FR2.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FR1+FR1 FDD+TDD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As stated in [4], some criteria were discussed for TDD-FDD in Rel-15 based on the frequency range. As we discussed in [3], there are lots of FDD-TDD CA band combination defined in the specification, so it may not easy maintain all these FDD-TDD CA band combination case by case.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If the simultaneous Rx/Tx capability is optional for TDD-FDD, then it can be interpreted that some TDD-FDD NR CA band combination does not support simultaneous Rx/Tx. In this case, how to implement the TDD-FDD NR CA band combination should be further discussed, considering UL and DL of FDD band work at the same time. Since if simultaneous Rx/Tx is not supported for TDD-FDD NR CA band combination, then it seems CA operation can not workable since if UL Tx is at TDD band, then FDD DL Rx cannot work, also FDD UL Tx cannot work, which means FDD band doesn</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t work if the UL Tx is at TDD band, it is not CA operation. Similar situation in the case of the UL Tx is at FDD band.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Also, companies think MSD can be used as one of the criteria to judge whether or not mandatory simultaneous Rx/Tx capability. However, according to [5], MSD caused by harmonic and IMD are not directly relevant to the discussion since harmonics and intermodulation do not always impact on real operation. One example (i.e. DC_3A-n78A ) was given in [5] where some operators may have spectrum holding combination not impacted by the 2nd harmonic.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Anyway, RAN4 can further discuss the simultaneous Rx/Tx capability for FDD-TDD band combination, but we think it would be better to understand how does the FDD-TDD inter-band CA look like without simultaneous Rx/Tx capability.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3. It is proposed to discuss whether or not CA operation is workable in the case of  simultaneous Rx/Tx capability is not supported for FR1+FR1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FR1+FR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 xml:space="preserve"> </w:t>
      </w:r>
      <w:r>
        <w:rPr>
          <w:rFonts w:hint="eastAsia" w:eastAsia="宋体" w:cs="Times New Roman"/>
          <w:b/>
          <w:bCs/>
          <w:color w:val="auto"/>
          <w:sz w:val="20"/>
          <w:szCs w:val="20"/>
          <w:highlight w:val="none"/>
          <w:u w:val="single"/>
          <w:lang w:val="en-US" w:eastAsia="zh-CN"/>
        </w:rPr>
        <w:t>F</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In section 6.1 and section 7.1 in current TS38.101-3, it said:</w:t>
      </w:r>
    </w:p>
    <w:p>
      <w:pPr>
        <w:keepNext/>
        <w:keepLines/>
        <w:widowControl w:val="0"/>
        <w:numPr>
          <w:ilvl w:val="0"/>
          <w:numId w:val="0"/>
        </w:numPr>
        <w:spacing w:after="120"/>
        <w:outlineLvl w:val="9"/>
        <w:rPr>
          <w:rFonts w:hint="eastAsia" w:eastAsia="宋体"/>
          <w:i/>
          <w:iCs/>
          <w:color w:val="auto"/>
          <w:sz w:val="20"/>
          <w:highlight w:val="none"/>
          <w:lang w:val="en-US" w:eastAsia="zh-CN"/>
        </w:rPr>
      </w:pPr>
      <w:r>
        <w:rPr>
          <w:rFonts w:hint="eastAsia" w:eastAsia="宋体"/>
          <w:i/>
          <w:iCs/>
          <w:color w:val="auto"/>
          <w:sz w:val="20"/>
          <w:highlight w:val="none"/>
          <w:lang w:val="en-US" w:eastAsia="zh-CN"/>
        </w:rPr>
        <w:t xml:space="preserve">Unless otherwise stated the receiver characteristics are specified at the antenna connector(s) of the UE for the bands operating on frequency range 1 and over the air of the UE for the bands operating on frequency range 2. </w:t>
      </w:r>
      <w:r>
        <w:rPr>
          <w:rFonts w:hint="eastAsia" w:eastAsia="宋体"/>
          <w:i/>
          <w:iCs/>
          <w:color w:val="auto"/>
          <w:sz w:val="20"/>
          <w:highlight w:val="yellow"/>
          <w:lang w:val="en-US" w:eastAsia="zh-CN"/>
        </w:rPr>
        <w:t>The requirements for frequency range 1 and frequency range 2 can be verified separately.</w:t>
      </w:r>
      <w:r>
        <w:rPr>
          <w:rFonts w:hint="eastAsia" w:eastAsia="宋体"/>
          <w:i/>
          <w:iCs/>
          <w:color w:val="auto"/>
          <w:sz w:val="20"/>
          <w:highlight w:val="none"/>
          <w:lang w:val="en-US" w:eastAsia="zh-CN"/>
        </w:rPr>
        <w:t xml:space="preserve"> For the carrier in frequency range 1, requirements can be verified with NR FR2 link disabled. For the carrier in frequency range 2, requirements can be verified in OTA mode with E-UTRA connecting to the network by OTA without calibration.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olor w:val="auto"/>
          <w:sz w:val="20"/>
          <w:highlight w:val="none"/>
          <w:lang w:val="en-US" w:eastAsia="zh-CN"/>
        </w:rPr>
        <w:t xml:space="preserve">Also in the 38.101-3 spec, FR1 requirements and FR2 requirements are defined independent. Therefore </w:t>
      </w:r>
      <w:r>
        <w:rPr>
          <w:rFonts w:hint="eastAsia" w:eastAsia="宋体" w:cs="Times New Roman"/>
          <w:b w:val="0"/>
          <w:bCs w:val="0"/>
          <w:color w:val="auto"/>
          <w:sz w:val="20"/>
          <w:szCs w:val="20"/>
          <w:highlight w:val="none"/>
          <w:lang w:val="en-US" w:eastAsia="zh-CN"/>
        </w:rPr>
        <w:t xml:space="preserve">it is proposed that mandatory simultaneous Rx/Tx capability should be supported for all of the FDD-TDD CA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4. Mandatory simultaneous Rx/Tx capability should be supported for all of the FR1+FR2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2.</w:t>
      </w:r>
      <w:r>
        <w:rPr>
          <w:rFonts w:hint="eastAsia" w:eastAsia="宋体" w:cs="Times New Roman"/>
          <w:b/>
          <w:bCs/>
          <w:color w:val="auto"/>
          <w:sz w:val="20"/>
          <w:szCs w:val="20"/>
          <w:highlight w:val="none"/>
          <w:lang w:val="en-US" w:eastAsia="zh-CN"/>
        </w:rPr>
        <w:t>4</w:t>
      </w:r>
      <w:r>
        <w:rPr>
          <w:rFonts w:hint="default" w:ascii="Times New Roman" w:hAnsi="Times New Roman" w:eastAsia="宋体" w:cs="Times New Roman"/>
          <w:b/>
          <w:bCs/>
          <w:color w:val="auto"/>
          <w:sz w:val="20"/>
          <w:szCs w:val="20"/>
          <w:highlight w:val="none"/>
          <w:lang w:val="en-US" w:eastAsia="zh-CN"/>
        </w:rPr>
        <w:t xml:space="preserve"> </w:t>
      </w:r>
      <w:r>
        <w:rPr>
          <w:rFonts w:hint="default" w:ascii="Times New Roman" w:hAnsi="Times New Roman" w:eastAsia="宋体" w:cs="Times New Roman"/>
          <w:b/>
          <w:bCs/>
          <w:color w:val="auto"/>
          <w:sz w:val="20"/>
          <w:szCs w:val="20"/>
          <w:highlight w:val="none"/>
          <w:lang w:val="en-US" w:eastAsia="zh-CN"/>
        </w:rPr>
        <w:tab/>
      </w:r>
      <w:r>
        <w:rPr>
          <w:rFonts w:hint="eastAsia" w:eastAsia="宋体" w:cs="Times New Roman"/>
          <w:b/>
          <w:bCs/>
          <w:color w:val="auto"/>
          <w:sz w:val="20"/>
          <w:szCs w:val="20"/>
          <w:highlight w:val="none"/>
          <w:lang w:val="en-US" w:eastAsia="zh-CN"/>
        </w:rPr>
        <w:t>T</w:t>
      </w:r>
      <w:r>
        <w:rPr>
          <w:rFonts w:hint="default" w:ascii="Times New Roman" w:hAnsi="Times New Roman" w:eastAsia="宋体" w:cs="Times New Roman"/>
          <w:b/>
          <w:bCs/>
          <w:color w:val="auto"/>
          <w:sz w:val="20"/>
          <w:szCs w:val="20"/>
          <w:highlight w:val="none"/>
          <w:lang w:val="en-US" w:eastAsia="zh-CN"/>
        </w:rPr>
        <w:t>DD+TDD NR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We think it is more meaningful to discuss simultaneous Rx/Tx capability for TDD-TDD NR CA band combination since the UL and DL of TDD band doesn</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t work at the same time.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 xml:space="preserve">FR1+FR1 </w:t>
      </w:r>
      <w:r>
        <w:rPr>
          <w:rFonts w:hint="eastAsia" w:eastAsia="宋体" w:cs="Times New Roman"/>
          <w:b/>
          <w:bCs/>
          <w:color w:val="auto"/>
          <w:sz w:val="20"/>
          <w:szCs w:val="20"/>
          <w:highlight w:val="none"/>
          <w:u w:val="single"/>
          <w:lang w:val="en-US" w:eastAsia="zh-CN"/>
        </w:rPr>
        <w:t>T</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It have already agreed in the WF that simultaneous Rx/Tx capability should be discussed case by case for the FR1+FR1 TDD-TDD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FR1+FR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 xml:space="preserve"> </w:t>
      </w:r>
      <w:r>
        <w:rPr>
          <w:rFonts w:hint="eastAsia" w:eastAsia="宋体" w:cs="Times New Roman"/>
          <w:b/>
          <w:bCs/>
          <w:color w:val="auto"/>
          <w:sz w:val="20"/>
          <w:szCs w:val="20"/>
          <w:highlight w:val="none"/>
          <w:u w:val="single"/>
          <w:lang w:val="en-US" w:eastAsia="zh-CN"/>
        </w:rPr>
        <w:t>T</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Same situation as FR1+FR2 FDD+TDD for FR1+FR2 TDD+TDD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color w:val="auto"/>
          <w:sz w:val="20"/>
          <w:szCs w:val="20"/>
          <w:highlight w:val="none"/>
          <w:u w:val="single"/>
          <w:lang w:val="en-US" w:eastAsia="zh-CN"/>
        </w:rPr>
      </w:pPr>
      <w:r>
        <w:rPr>
          <w:rFonts w:hint="eastAsia" w:eastAsia="宋体" w:cs="Times New Roman"/>
          <w:b/>
          <w:bCs/>
          <w:color w:val="auto"/>
          <w:sz w:val="20"/>
          <w:szCs w:val="20"/>
          <w:highlight w:val="none"/>
          <w:lang w:val="en-US" w:eastAsia="zh-CN"/>
        </w:rPr>
        <w:t>Proposal 5. Mandatory simultaneous Rx/Tx capability should be supported for all of the FR1+FR2 TDD-TDD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 xml:space="preserve"> </w:t>
      </w:r>
      <w:r>
        <w:rPr>
          <w:rFonts w:hint="eastAsia" w:eastAsia="宋体" w:cs="Times New Roman"/>
          <w:b/>
          <w:bCs/>
          <w:color w:val="auto"/>
          <w:sz w:val="20"/>
          <w:szCs w:val="20"/>
          <w:highlight w:val="none"/>
          <w:u w:val="single"/>
          <w:lang w:val="en-US" w:eastAsia="zh-CN"/>
        </w:rPr>
        <w:t>T</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 discussion for FR2+FR2 TDD+TDD band combination are quite different with FR1+FR1, and only n260+n261 inter-band DL CA have been completed, and the RF requirements of reference sensitivity relaxation (</w:t>
      </w:r>
      <w:r>
        <w:rPr>
          <w:rFonts w:hint="default" w:eastAsia="宋体" w:cs="Times New Roman"/>
          <w:b w:val="0"/>
          <w:bCs w:val="0"/>
          <w:color w:val="auto"/>
          <w:sz w:val="20"/>
          <w:szCs w:val="20"/>
          <w:highlight w:val="none"/>
          <w:lang w:val="en-US" w:eastAsia="zh-CN"/>
        </w:rPr>
        <w:t>ΔRIB,P,n</w:t>
      </w:r>
      <w:r>
        <w:rPr>
          <w:rFonts w:hint="eastAsia" w:eastAsia="宋体" w:cs="Times New Roman"/>
          <w:b w:val="0"/>
          <w:bCs w:val="0"/>
          <w:color w:val="auto"/>
          <w:sz w:val="20"/>
          <w:szCs w:val="20"/>
          <w:highlight w:val="none"/>
          <w:lang w:val="en-US" w:eastAsia="zh-CN"/>
        </w:rPr>
        <w:t>) and EIS Spherical coverage relaxation</w:t>
      </w:r>
      <w:r>
        <w:t xml:space="preserve"> </w:t>
      </w:r>
      <w:r>
        <w:rPr>
          <w:rFonts w:hint="eastAsia" w:eastAsia="宋体" w:cs="Times New Roman"/>
          <w:b w:val="0"/>
          <w:bCs w:val="0"/>
          <w:color w:val="auto"/>
          <w:sz w:val="20"/>
          <w:szCs w:val="20"/>
          <w:highlight w:val="none"/>
          <w:lang w:val="en-US" w:eastAsia="zh-CN"/>
        </w:rPr>
        <w:t>(</w:t>
      </w:r>
      <w:r>
        <w:rPr>
          <w:sz w:val="20"/>
          <w:szCs w:val="20"/>
        </w:rPr>
        <w:t>ΔR</w:t>
      </w:r>
      <w:r>
        <w:rPr>
          <w:sz w:val="20"/>
          <w:szCs w:val="20"/>
          <w:vertAlign w:val="subscript"/>
        </w:rPr>
        <w:t>IB,S,n</w:t>
      </w:r>
      <w:r>
        <w:rPr>
          <w:rFonts w:hint="eastAsia" w:eastAsia="宋体" w:cs="Times New Roman"/>
          <w:b w:val="0"/>
          <w:bCs w:val="0"/>
          <w:color w:val="auto"/>
          <w:sz w:val="20"/>
          <w:szCs w:val="20"/>
          <w:highlight w:val="none"/>
          <w:lang w:val="en-US" w:eastAsia="zh-CN"/>
        </w:rPr>
        <w:t>) are defined based on IBM capability. Seems there are no discussions on simultaneous Rx/Tx capability for FR2-FR2 band combination, and it seems the current RF framework for FR2-FR2 inter-band DL CA in TS38.101-2 didn</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t consider the inter-band DL CA relaxation factor. In our understanding, comparing with the single-band operation RF requirements, the MBR relaxation is for </w:t>
      </w:r>
      <w:r>
        <w:rPr>
          <w:rFonts w:hint="eastAsia" w:ascii="Times New Roman" w:hAnsi="Times New Roman" w:eastAsia="宋体" w:cs="Times New Roman"/>
          <w:color w:val="auto"/>
          <w:sz w:val="20"/>
          <w:highlight w:val="none"/>
          <w:lang w:val="en-US" w:eastAsia="zh-CN"/>
        </w:rPr>
        <w:t>antenna roll-off loss</w:t>
      </w:r>
      <w:r>
        <w:rPr>
          <w:rFonts w:hint="eastAsia" w:eastAsia="宋体" w:cs="Times New Roman"/>
          <w:color w:val="auto"/>
          <w:sz w:val="20"/>
          <w:highlight w:val="none"/>
          <w:lang w:val="en-US" w:eastAsia="zh-CN"/>
        </w:rPr>
        <w:t xml:space="preserve"> to support multiple bands, while </w:t>
      </w:r>
      <w:r>
        <w:rPr>
          <w:rFonts w:hint="eastAsia" w:eastAsia="宋体" w:cs="Times New Roman"/>
          <w:b w:val="0"/>
          <w:bCs w:val="0"/>
          <w:color w:val="auto"/>
          <w:sz w:val="20"/>
          <w:szCs w:val="20"/>
          <w:highlight w:val="none"/>
          <w:lang w:val="en-US" w:eastAsia="zh-CN"/>
        </w:rPr>
        <w:t>inter-band DL CA relaxation is for the additional loss due to the introduction of new RFFE components.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Therefore, it is not clear how/which the requirements would be defined (MSD or others?) if simultaneous Rx/Tx capability is applied for FR2-FR2 inter-band CA. Also, in last meeting, one company think it is not a </w:t>
      </w:r>
      <w:r>
        <w:rPr>
          <w:rFonts w:hint="eastAsia" w:eastAsia="宋体"/>
          <w:color w:val="auto"/>
          <w:sz w:val="20"/>
          <w:highlight w:val="none"/>
          <w:lang w:val="en-US" w:eastAsia="zh-CN"/>
        </w:rPr>
        <w:t xml:space="preserve">feasible scenario to consider </w:t>
      </w:r>
      <w:r>
        <w:rPr>
          <w:rFonts w:hint="eastAsia" w:eastAsia="宋体" w:cs="Times New Roman"/>
          <w:b w:val="0"/>
          <w:bCs w:val="0"/>
          <w:color w:val="auto"/>
          <w:sz w:val="20"/>
          <w:szCs w:val="20"/>
          <w:highlight w:val="none"/>
          <w:lang w:val="en-US" w:eastAsia="zh-CN"/>
        </w:rPr>
        <w:t>simultaneous Rx/Tx capability for FR2-FR2 inter-band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6.  RAN4 need to discuss whether or not simultaneous Rx/Tx is feasible for FR2+FR2 TDD-TDD CA band combination first.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In this contribution, we give some initial discussions on </w:t>
      </w:r>
      <w:r>
        <w:rPr>
          <w:rFonts w:hint="default" w:eastAsia="宋体" w:cs="Times New Roman"/>
          <w:b w:val="0"/>
          <w:bCs w:val="0"/>
          <w:color w:val="auto"/>
          <w:sz w:val="20"/>
          <w:szCs w:val="20"/>
          <w:highlight w:val="none"/>
          <w:lang w:val="en-US" w:eastAsia="zh-CN"/>
        </w:rPr>
        <w:t>simultaneous Rx/Tx for the band combinations</w:t>
      </w:r>
      <w:r>
        <w:rPr>
          <w:rFonts w:hint="eastAsia" w:eastAsia="宋体" w:cs="Times New Roman"/>
          <w:b w:val="0"/>
          <w:bCs w:val="0"/>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1: Same simultaneous Rx/Tx capability for NR </w:t>
      </w:r>
      <w:r>
        <w:rPr>
          <w:rFonts w:hint="eastAsia" w:eastAsia="宋体" w:cs="Times New Roman"/>
          <w:b/>
          <w:bCs/>
          <w:color w:val="auto"/>
          <w:sz w:val="20"/>
          <w:szCs w:val="20"/>
          <w:highlight w:val="none"/>
          <w:lang w:val="en-US" w:eastAsia="zh-CN"/>
        </w:rPr>
        <w:t>CA</w:t>
      </w:r>
      <w:r>
        <w:rPr>
          <w:rFonts w:hint="default" w:ascii="Times New Roman" w:hAnsi="Times New Roman" w:eastAsia="宋体" w:cs="Times New Roman"/>
          <w:b/>
          <w:bCs/>
          <w:color w:val="auto"/>
          <w:sz w:val="20"/>
          <w:szCs w:val="20"/>
          <w:highlight w:val="none"/>
          <w:lang w:val="en-US" w:eastAsia="zh-CN"/>
        </w:rPr>
        <w:t xml:space="preserve"> band combination </w:t>
      </w:r>
      <w:r>
        <w:rPr>
          <w:rFonts w:hint="eastAsia" w:eastAsia="宋体" w:cs="Times New Roman"/>
          <w:b/>
          <w:bCs/>
          <w:color w:val="auto"/>
          <w:sz w:val="20"/>
          <w:szCs w:val="20"/>
          <w:highlight w:val="none"/>
          <w:lang w:val="en-US" w:eastAsia="zh-CN"/>
        </w:rPr>
        <w:t xml:space="preserve"> can be applied for</w:t>
      </w:r>
      <w:r>
        <w:rPr>
          <w:rFonts w:hint="default" w:ascii="Times New Roman" w:hAnsi="Times New Roman" w:eastAsia="宋体" w:cs="Times New Roman"/>
          <w:b/>
          <w:bCs/>
          <w:color w:val="auto"/>
          <w:sz w:val="20"/>
          <w:szCs w:val="20"/>
          <w:highlight w:val="none"/>
          <w:lang w:val="en-US" w:eastAsia="zh-CN"/>
        </w:rPr>
        <w:t xml:space="preserve"> the corresponding inter-band NR </w:t>
      </w:r>
      <w:r>
        <w:rPr>
          <w:rFonts w:hint="eastAsia" w:eastAsia="宋体" w:cs="Times New Roman"/>
          <w:b/>
          <w:bCs/>
          <w:color w:val="auto"/>
          <w:sz w:val="20"/>
          <w:szCs w:val="20"/>
          <w:highlight w:val="none"/>
          <w:lang w:val="en-US" w:eastAsia="zh-CN"/>
        </w:rPr>
        <w:t>DC</w:t>
      </w:r>
      <w:r>
        <w:rPr>
          <w:rFonts w:hint="default" w:ascii="Times New Roman" w:hAnsi="Times New Roman" w:eastAsia="宋体" w:cs="Times New Roman"/>
          <w:b/>
          <w:bCs/>
          <w:color w:val="auto"/>
          <w:sz w:val="20"/>
          <w:szCs w:val="20"/>
          <w:highlight w:val="none"/>
          <w:lang w:val="en-US" w:eastAsia="zh-CN"/>
        </w:rPr>
        <w:t xml:space="preserve">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Proposal 2: Same simultaneous Rx/Tx capability for inter-band ENDC band combination</w:t>
      </w:r>
      <w:r>
        <w:rPr>
          <w:rFonts w:hint="eastAsia" w:eastAsia="宋体" w:cs="Times New Roman"/>
          <w:b/>
          <w:bCs/>
          <w:color w:val="auto"/>
          <w:sz w:val="20"/>
          <w:szCs w:val="20"/>
          <w:highlight w:val="none"/>
          <w:lang w:val="en-US" w:eastAsia="zh-CN"/>
        </w:rPr>
        <w:t xml:space="preserve"> can be applied for </w:t>
      </w:r>
      <w:r>
        <w:rPr>
          <w:rFonts w:hint="default" w:ascii="Times New Roman" w:hAnsi="Times New Roman" w:eastAsia="宋体" w:cs="Times New Roman"/>
          <w:b/>
          <w:bCs/>
          <w:color w:val="auto"/>
          <w:sz w:val="20"/>
          <w:szCs w:val="20"/>
          <w:highlight w:val="none"/>
          <w:lang w:val="en-US" w:eastAsia="zh-CN"/>
        </w:rPr>
        <w:t xml:space="preserve">the corresponding inter-band </w:t>
      </w:r>
      <w:r>
        <w:rPr>
          <w:rFonts w:hint="eastAsia" w:eastAsia="宋体" w:cs="Times New Roman"/>
          <w:b/>
          <w:bCs/>
          <w:color w:val="auto"/>
          <w:sz w:val="20"/>
          <w:szCs w:val="20"/>
          <w:highlight w:val="none"/>
          <w:lang w:val="en-US" w:eastAsia="zh-CN"/>
        </w:rPr>
        <w:t>NR CA</w:t>
      </w:r>
      <w:r>
        <w:rPr>
          <w:rFonts w:hint="default" w:ascii="Times New Roman" w:hAnsi="Times New Roman" w:eastAsia="宋体" w:cs="Times New Roman"/>
          <w:b/>
          <w:bCs/>
          <w:color w:val="auto"/>
          <w:sz w:val="20"/>
          <w:szCs w:val="20"/>
          <w:highlight w:val="none"/>
          <w:lang w:val="en-US" w:eastAsia="zh-CN"/>
        </w:rPr>
        <w:t xml:space="preserve">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iCs/>
          <w:color w:val="auto"/>
          <w:sz w:val="20"/>
          <w:szCs w:val="20"/>
          <w:highlight w:val="none"/>
          <w:u w:val="single"/>
          <w:lang w:val="en-US" w:eastAsia="zh-CN"/>
        </w:rPr>
      </w:pPr>
      <w:r>
        <w:rPr>
          <w:rFonts w:hint="eastAsia" w:eastAsia="宋体" w:cs="Times New Roman"/>
          <w:b w:val="0"/>
          <w:bCs w:val="0"/>
          <w:i/>
          <w:iCs/>
          <w:color w:val="auto"/>
          <w:sz w:val="20"/>
          <w:szCs w:val="20"/>
          <w:highlight w:val="none"/>
          <w:u w:val="single"/>
          <w:lang w:val="en-US" w:eastAsia="zh-CN"/>
        </w:rPr>
        <w:t>FDD+TDD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3. It is proposed to discuss whether or not CA operation is workable in the case of simultaneous Rx/Tx capability is not supported for FR1+FR1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4. Mandatory simultaneous Rx/Tx capability should be supported for all of the FR1+FR2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val="0"/>
          <w:bCs w:val="0"/>
          <w:i/>
          <w:iCs/>
          <w:color w:val="auto"/>
          <w:sz w:val="20"/>
          <w:szCs w:val="20"/>
          <w:highlight w:val="none"/>
          <w:u w:val="single"/>
          <w:lang w:val="en-US" w:eastAsia="zh-CN"/>
        </w:rPr>
        <w:t>TDD+TDD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5. Mandatory simultaneous Rx/Tx capability should be supported for all of the FR1+FR2 TDD-TDD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等线" w:cs="Arial"/>
          <w:color w:val="auto"/>
          <w:sz w:val="20"/>
          <w:lang w:val="en-US" w:eastAsia="zh-CN"/>
        </w:rPr>
      </w:pPr>
      <w:r>
        <w:rPr>
          <w:rFonts w:hint="eastAsia" w:eastAsia="宋体" w:cs="Times New Roman"/>
          <w:b/>
          <w:bCs/>
          <w:color w:val="auto"/>
          <w:sz w:val="20"/>
          <w:szCs w:val="20"/>
          <w:highlight w:val="none"/>
          <w:lang w:val="en-US" w:eastAsia="zh-CN"/>
        </w:rPr>
        <w:t>Proposal 6. RAN4 need to discuss whether or not simultaneous Rx/Tx is feasible for FR2+FR2 TDD-TDD CA band combination first.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0"/>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[1] R4-2103273, New WID on New WID on simultaneous Rx/Tx band combinations for CA, SUL, MR-DC and NR-DC,Huawei, HiSilicon</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default" w:eastAsia="宋体" w:cs="Times New Roman"/>
          <w:color w:val="auto"/>
          <w:sz w:val="20"/>
          <w:highlight w:val="none"/>
          <w:lang w:val="en-US" w:eastAsia="zh-CN"/>
        </w:rPr>
        <w:t xml:space="preserve">[2] R4-2105377, </w:t>
      </w:r>
      <w:r>
        <w:rPr>
          <w:rFonts w:hint="default" w:ascii="Times New Roman" w:hAnsi="Times New Roman" w:eastAsia="宋体" w:cs="Times New Roman"/>
          <w:color w:val="auto"/>
          <w:sz w:val="20"/>
          <w:highlight w:val="none"/>
          <w:lang w:val="en-US" w:eastAsia="zh-CN"/>
        </w:rPr>
        <w:t>WF on Simultaneous Rx/Tx,Huawei, HiSilicon</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color w:val="auto"/>
          <w:sz w:val="20"/>
          <w:szCs w:val="20"/>
          <w:highlight w:val="none"/>
          <w:lang w:val="en-US" w:eastAsia="zh-CN"/>
        </w:rPr>
        <w:t>[3] R4-21</w:t>
      </w:r>
      <w:r>
        <w:rPr>
          <w:rFonts w:hint="default" w:eastAsia="宋体" w:cs="Times New Roman"/>
          <w:b w:val="0"/>
          <w:color w:val="auto"/>
          <w:sz w:val="20"/>
          <w:szCs w:val="20"/>
          <w:highlight w:val="none"/>
          <w:lang w:val="en-US" w:eastAsia="zh-CN"/>
        </w:rPr>
        <w:t xml:space="preserve">06386, </w:t>
      </w:r>
      <w:r>
        <w:rPr>
          <w:rFonts w:hint="default" w:eastAsia="宋体" w:cs="Times New Roman"/>
          <w:color w:val="auto"/>
          <w:sz w:val="20"/>
          <w:szCs w:val="20"/>
          <w:highlight w:val="none"/>
          <w:lang w:val="en-US" w:eastAsia="zh-CN"/>
        </w:rPr>
        <w:t xml:space="preserve"> </w:t>
      </w:r>
      <w:r>
        <w:rPr>
          <w:rFonts w:hint="default" w:eastAsia="宋体" w:cs="Times New Roman"/>
          <w:b w:val="0"/>
          <w:bCs w:val="0"/>
          <w:color w:val="auto"/>
          <w:sz w:val="20"/>
          <w:szCs w:val="20"/>
          <w:highlight w:val="none"/>
          <w:lang w:val="en-US" w:eastAsia="zh-CN"/>
        </w:rPr>
        <w:t>D</w:t>
      </w:r>
      <w:r>
        <w:rPr>
          <w:rFonts w:hint="default" w:ascii="Times New Roman" w:hAnsi="Times New Roman" w:eastAsia="宋体" w:cs="Times New Roman"/>
          <w:b w:val="0"/>
          <w:bCs w:val="0"/>
          <w:color w:val="auto"/>
          <w:sz w:val="20"/>
          <w:szCs w:val="20"/>
          <w:highlight w:val="none"/>
          <w:lang w:val="en-US" w:eastAsia="zh-CN"/>
        </w:rPr>
        <w:t>iscussion on Simultaneous RxTx, ZTE Corporation</w:t>
      </w:r>
    </w:p>
    <w:p>
      <w:pPr>
        <w:rPr>
          <w:rFonts w:hint="default"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[4]</w:t>
      </w:r>
      <w:r>
        <w:rPr>
          <w:rFonts w:hint="eastAsia" w:eastAsia="宋体" w:cs="Times New Roman"/>
          <w:color w:val="auto"/>
          <w:sz w:val="20"/>
          <w:highlight w:val="none"/>
          <w:lang w:val="en-US" w:eastAsia="zh-CN"/>
        </w:rPr>
        <w:t xml:space="preserve"> </w:t>
      </w:r>
      <w:r>
        <w:rPr>
          <w:rFonts w:eastAsia="宋体" w:cs="Times New Roman"/>
          <w:iCs w:val="0"/>
          <w:color w:val="auto"/>
          <w:sz w:val="20"/>
          <w:highlight w:val="none"/>
          <w:lang w:val="en-US" w:eastAsia="zh-CN"/>
        </w:rPr>
        <w:t>R4-2107047</w:t>
      </w:r>
      <w:r>
        <w:rPr>
          <w:rFonts w:hint="default" w:eastAsia="宋体" w:cs="Times New Roman"/>
          <w:iCs w:val="0"/>
          <w:color w:val="auto"/>
          <w:sz w:val="20"/>
          <w:highlight w:val="none"/>
          <w:lang w:val="en-US" w:eastAsia="zh-CN"/>
        </w:rPr>
        <w:t>,</w:t>
      </w:r>
      <w:r>
        <w:rPr>
          <w:rFonts w:hint="eastAsia" w:eastAsia="宋体" w:cs="Times New Roman"/>
          <w:iCs w:val="0"/>
          <w:color w:val="auto"/>
          <w:sz w:val="20"/>
          <w:highlight w:val="none"/>
          <w:lang w:val="en-US" w:eastAsia="zh-CN"/>
        </w:rPr>
        <w:t xml:space="preserve">  </w:t>
      </w:r>
      <w:r>
        <w:rPr>
          <w:rFonts w:hint="default" w:ascii="Times New Roman" w:hAnsi="Times New Roman" w:eastAsia="宋体" w:cs="Times New Roman"/>
          <w:color w:val="auto"/>
          <w:sz w:val="20"/>
          <w:highlight w:val="none"/>
          <w:lang w:val="en-US" w:eastAsia="zh-CN"/>
        </w:rPr>
        <w:t xml:space="preserve">Discussion on general principle for simultaneous </w:t>
      </w:r>
      <w:r>
        <w:rPr>
          <w:rFonts w:ascii="Times New Roman" w:hAnsi="Times New Roman" w:eastAsia="宋体" w:cs="Times New Roman"/>
          <w:color w:val="auto"/>
          <w:sz w:val="20"/>
          <w:highlight w:val="none"/>
          <w:lang w:val="en-US" w:eastAsia="zh-CN"/>
        </w:rPr>
        <w:t>Rx/Tx band combinations for CA, SUL, MR-DC and NR-DC</w:t>
      </w:r>
      <w:r>
        <w:rPr>
          <w:rFonts w:hint="default" w:eastAsia="宋体" w:cs="Times New Roman"/>
          <w:color w:val="auto"/>
          <w:sz w:val="20"/>
          <w:highlight w:val="none"/>
          <w:lang w:val="en-US" w:eastAsia="zh-CN"/>
        </w:rPr>
        <w:t>, CHTTL</w:t>
      </w:r>
    </w:p>
    <w:p>
      <w:pPr>
        <w:rPr>
          <w:rFonts w:hint="default" w:eastAsia="宋体" w:cs="Times New Roman"/>
          <w:color w:val="auto"/>
          <w:sz w:val="20"/>
          <w:highlight w:val="none"/>
          <w:lang w:val="en-US" w:eastAsia="zh-CN"/>
        </w:rPr>
      </w:pPr>
      <w:r>
        <w:rPr>
          <w:rFonts w:hint="eastAsia" w:eastAsia="宋体" w:cs="Times New Roman"/>
          <w:color w:val="auto"/>
          <w:sz w:val="20"/>
          <w:highlight w:val="none"/>
          <w:lang w:val="en-US" w:eastAsia="zh-CN"/>
        </w:rPr>
        <w:t xml:space="preserve">[5] R4-1807135, </w:t>
      </w:r>
      <w:r>
        <w:rPr>
          <w:rFonts w:hint="default" w:eastAsia="宋体" w:cs="Times New Roman"/>
          <w:color w:val="auto"/>
          <w:sz w:val="20"/>
          <w:highlight w:val="none"/>
          <w:lang w:val="en-US" w:eastAsia="zh-CN"/>
        </w:rPr>
        <w:t>Approach for finalizing simultaneous Rx/Tx discussion</w:t>
      </w:r>
      <w:r>
        <w:rPr>
          <w:rFonts w:hint="eastAsia" w:eastAsia="宋体" w:cs="Times New Roman"/>
          <w:color w:val="auto"/>
          <w:sz w:val="20"/>
          <w:highlight w:val="none"/>
          <w:lang w:val="en-US" w:eastAsia="zh-CN"/>
        </w:rPr>
        <w:t>, NTT DoCoMo</w:t>
      </w:r>
    </w:p>
    <w:p>
      <w:pPr>
        <w:rPr>
          <w:rFonts w:hint="default" w:eastAsia="宋体" w:cs="Times New Roman"/>
          <w:color w:val="auto"/>
          <w:sz w:val="20"/>
          <w:highlight w:val="none"/>
          <w:lang w:val="en-US" w:eastAsia="zh-CN"/>
        </w:rPr>
      </w:pP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DF1DB0"/>
    <w:multiLevelType w:val="multilevel"/>
    <w:tmpl w:val="46DF1DB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8"/>
  </w:num>
  <w:num w:numId="7">
    <w:abstractNumId w:val="10"/>
  </w:num>
  <w:num w:numId="8">
    <w:abstractNumId w:val="12"/>
  </w:num>
  <w:num w:numId="9">
    <w:abstractNumId w:val="5"/>
  </w:num>
  <w:num w:numId="10">
    <w:abstractNumId w:val="7"/>
  </w:num>
  <w:num w:numId="11">
    <w:abstractNumId w:val="4"/>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0B58FD"/>
    <w:rsid w:val="01186036"/>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B7D78"/>
    <w:rsid w:val="017D283D"/>
    <w:rsid w:val="01836D6F"/>
    <w:rsid w:val="018A1316"/>
    <w:rsid w:val="018C141B"/>
    <w:rsid w:val="018D3B10"/>
    <w:rsid w:val="019621B7"/>
    <w:rsid w:val="01965BE3"/>
    <w:rsid w:val="019B31EC"/>
    <w:rsid w:val="01A10B4A"/>
    <w:rsid w:val="01A5580E"/>
    <w:rsid w:val="01A92BDD"/>
    <w:rsid w:val="01AB1190"/>
    <w:rsid w:val="01AD4F3F"/>
    <w:rsid w:val="01AE603F"/>
    <w:rsid w:val="01B37AB2"/>
    <w:rsid w:val="01B4389E"/>
    <w:rsid w:val="01B50EE4"/>
    <w:rsid w:val="01C03267"/>
    <w:rsid w:val="01C230B8"/>
    <w:rsid w:val="01C605AA"/>
    <w:rsid w:val="01C77E59"/>
    <w:rsid w:val="01CC7635"/>
    <w:rsid w:val="01D63E85"/>
    <w:rsid w:val="01DC352B"/>
    <w:rsid w:val="01E06988"/>
    <w:rsid w:val="01E44C51"/>
    <w:rsid w:val="01ED283C"/>
    <w:rsid w:val="01ED3F12"/>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E4457"/>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E6309"/>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1FE7"/>
    <w:rsid w:val="032D3872"/>
    <w:rsid w:val="03337AA5"/>
    <w:rsid w:val="033F4641"/>
    <w:rsid w:val="033F720D"/>
    <w:rsid w:val="034172CD"/>
    <w:rsid w:val="03447417"/>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CE2B9C"/>
    <w:rsid w:val="03D37304"/>
    <w:rsid w:val="03D443A4"/>
    <w:rsid w:val="03D50398"/>
    <w:rsid w:val="03D56517"/>
    <w:rsid w:val="03DA45C4"/>
    <w:rsid w:val="03DD1F73"/>
    <w:rsid w:val="03E0353C"/>
    <w:rsid w:val="03E23027"/>
    <w:rsid w:val="03E311A7"/>
    <w:rsid w:val="03E43C7E"/>
    <w:rsid w:val="03EA2C5B"/>
    <w:rsid w:val="03EA5C1E"/>
    <w:rsid w:val="03F00DB3"/>
    <w:rsid w:val="03F42BA3"/>
    <w:rsid w:val="03F71248"/>
    <w:rsid w:val="03FC6EFD"/>
    <w:rsid w:val="040040AF"/>
    <w:rsid w:val="040639BD"/>
    <w:rsid w:val="040908D2"/>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6A7675"/>
    <w:rsid w:val="04740CAB"/>
    <w:rsid w:val="047C7418"/>
    <w:rsid w:val="047F211F"/>
    <w:rsid w:val="04921B49"/>
    <w:rsid w:val="049377A7"/>
    <w:rsid w:val="04970C3A"/>
    <w:rsid w:val="04A63DE5"/>
    <w:rsid w:val="04AD5427"/>
    <w:rsid w:val="04B31C9E"/>
    <w:rsid w:val="04B773EC"/>
    <w:rsid w:val="04B96E15"/>
    <w:rsid w:val="04CE5DAA"/>
    <w:rsid w:val="04D06A94"/>
    <w:rsid w:val="04D822DA"/>
    <w:rsid w:val="04DD55E3"/>
    <w:rsid w:val="04E251E1"/>
    <w:rsid w:val="04E5192B"/>
    <w:rsid w:val="04E55A04"/>
    <w:rsid w:val="04E951BC"/>
    <w:rsid w:val="04F83880"/>
    <w:rsid w:val="04FA67E8"/>
    <w:rsid w:val="04FB32C2"/>
    <w:rsid w:val="0507209B"/>
    <w:rsid w:val="050B6335"/>
    <w:rsid w:val="050E12B9"/>
    <w:rsid w:val="0510022D"/>
    <w:rsid w:val="05105A58"/>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74C58"/>
    <w:rsid w:val="059E20A2"/>
    <w:rsid w:val="05A61B3E"/>
    <w:rsid w:val="05A77370"/>
    <w:rsid w:val="05B944F9"/>
    <w:rsid w:val="05C677BB"/>
    <w:rsid w:val="05CE76FB"/>
    <w:rsid w:val="05D503B8"/>
    <w:rsid w:val="05D5527A"/>
    <w:rsid w:val="05D679BE"/>
    <w:rsid w:val="05D93F31"/>
    <w:rsid w:val="05D96B45"/>
    <w:rsid w:val="05DD5E93"/>
    <w:rsid w:val="05DE43E0"/>
    <w:rsid w:val="05DF0515"/>
    <w:rsid w:val="05DF563A"/>
    <w:rsid w:val="05E11CE0"/>
    <w:rsid w:val="05E72ED3"/>
    <w:rsid w:val="05EA6FC1"/>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47CAD"/>
    <w:rsid w:val="069561E9"/>
    <w:rsid w:val="069A1A61"/>
    <w:rsid w:val="069B6E98"/>
    <w:rsid w:val="069C44CD"/>
    <w:rsid w:val="06AB1DFD"/>
    <w:rsid w:val="06AB26A7"/>
    <w:rsid w:val="06AD24C5"/>
    <w:rsid w:val="06B74133"/>
    <w:rsid w:val="06B8340B"/>
    <w:rsid w:val="06C31A1F"/>
    <w:rsid w:val="06C453F9"/>
    <w:rsid w:val="06C62533"/>
    <w:rsid w:val="06C82DD0"/>
    <w:rsid w:val="06CB06AF"/>
    <w:rsid w:val="06CB4406"/>
    <w:rsid w:val="06DA5761"/>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2883"/>
    <w:rsid w:val="071743DF"/>
    <w:rsid w:val="071A19D4"/>
    <w:rsid w:val="071C293A"/>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9A676C"/>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6448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104C6"/>
    <w:rsid w:val="08443734"/>
    <w:rsid w:val="084A2654"/>
    <w:rsid w:val="084D5120"/>
    <w:rsid w:val="085053EE"/>
    <w:rsid w:val="085054DE"/>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41848"/>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B5617"/>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355EB"/>
    <w:rsid w:val="0B581A82"/>
    <w:rsid w:val="0B62077D"/>
    <w:rsid w:val="0B633BD1"/>
    <w:rsid w:val="0B67076C"/>
    <w:rsid w:val="0B674BD0"/>
    <w:rsid w:val="0B6803C6"/>
    <w:rsid w:val="0B6A4660"/>
    <w:rsid w:val="0B6B2BC3"/>
    <w:rsid w:val="0B6C09A7"/>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26D50"/>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8695D"/>
    <w:rsid w:val="0C7F5547"/>
    <w:rsid w:val="0C8007C4"/>
    <w:rsid w:val="0C88242D"/>
    <w:rsid w:val="0C890FD6"/>
    <w:rsid w:val="0C916726"/>
    <w:rsid w:val="0C943D4F"/>
    <w:rsid w:val="0C95588B"/>
    <w:rsid w:val="0C9660F9"/>
    <w:rsid w:val="0C985710"/>
    <w:rsid w:val="0C991EF7"/>
    <w:rsid w:val="0C9B2D68"/>
    <w:rsid w:val="0CA4698B"/>
    <w:rsid w:val="0CA82CB9"/>
    <w:rsid w:val="0CAB29E1"/>
    <w:rsid w:val="0CAC5333"/>
    <w:rsid w:val="0CB074BC"/>
    <w:rsid w:val="0CB607E1"/>
    <w:rsid w:val="0CB76AF5"/>
    <w:rsid w:val="0CBA35F2"/>
    <w:rsid w:val="0CBD71E9"/>
    <w:rsid w:val="0CC15B44"/>
    <w:rsid w:val="0CC3200E"/>
    <w:rsid w:val="0CCC32E0"/>
    <w:rsid w:val="0CD334FB"/>
    <w:rsid w:val="0CD4606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27776"/>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32AB2"/>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CD635F"/>
    <w:rsid w:val="0ED26F69"/>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2D13EB"/>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D319A"/>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017A"/>
    <w:rsid w:val="112103C5"/>
    <w:rsid w:val="11223E45"/>
    <w:rsid w:val="1125568E"/>
    <w:rsid w:val="113E229D"/>
    <w:rsid w:val="113E6EF7"/>
    <w:rsid w:val="113F1A85"/>
    <w:rsid w:val="11402B56"/>
    <w:rsid w:val="11417B00"/>
    <w:rsid w:val="11424EC5"/>
    <w:rsid w:val="11435613"/>
    <w:rsid w:val="114860E6"/>
    <w:rsid w:val="114B0C0E"/>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7E239B"/>
    <w:rsid w:val="118372EE"/>
    <w:rsid w:val="11864C3B"/>
    <w:rsid w:val="118E089C"/>
    <w:rsid w:val="119120CB"/>
    <w:rsid w:val="119305C0"/>
    <w:rsid w:val="11943F1E"/>
    <w:rsid w:val="1197723B"/>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4EF7"/>
    <w:rsid w:val="124E6485"/>
    <w:rsid w:val="12550EAE"/>
    <w:rsid w:val="125577D8"/>
    <w:rsid w:val="12627A41"/>
    <w:rsid w:val="12647704"/>
    <w:rsid w:val="12663A63"/>
    <w:rsid w:val="12670745"/>
    <w:rsid w:val="126A57B3"/>
    <w:rsid w:val="126B3428"/>
    <w:rsid w:val="127B706D"/>
    <w:rsid w:val="127C1D27"/>
    <w:rsid w:val="127D11AD"/>
    <w:rsid w:val="12822706"/>
    <w:rsid w:val="12835AED"/>
    <w:rsid w:val="128A0F8D"/>
    <w:rsid w:val="128E3209"/>
    <w:rsid w:val="12A53CFF"/>
    <w:rsid w:val="12A9605F"/>
    <w:rsid w:val="12AF442E"/>
    <w:rsid w:val="12B21F52"/>
    <w:rsid w:val="12B32A37"/>
    <w:rsid w:val="12B931BE"/>
    <w:rsid w:val="12BA5D4B"/>
    <w:rsid w:val="12C20883"/>
    <w:rsid w:val="12C20B9F"/>
    <w:rsid w:val="12CB538A"/>
    <w:rsid w:val="12CD1DC9"/>
    <w:rsid w:val="12D43973"/>
    <w:rsid w:val="12D62B58"/>
    <w:rsid w:val="12E27109"/>
    <w:rsid w:val="12E77AD7"/>
    <w:rsid w:val="12E94E33"/>
    <w:rsid w:val="12EA0359"/>
    <w:rsid w:val="12F03E48"/>
    <w:rsid w:val="12F77784"/>
    <w:rsid w:val="12F9591A"/>
    <w:rsid w:val="130B1D8A"/>
    <w:rsid w:val="131358FB"/>
    <w:rsid w:val="1316198D"/>
    <w:rsid w:val="13173505"/>
    <w:rsid w:val="131F3AD2"/>
    <w:rsid w:val="13293EE0"/>
    <w:rsid w:val="133025EA"/>
    <w:rsid w:val="13304676"/>
    <w:rsid w:val="13326762"/>
    <w:rsid w:val="1336157D"/>
    <w:rsid w:val="133657BA"/>
    <w:rsid w:val="133D1052"/>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150C0"/>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7080A"/>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C3E85"/>
    <w:rsid w:val="14D224D0"/>
    <w:rsid w:val="14E1264D"/>
    <w:rsid w:val="14E93B9B"/>
    <w:rsid w:val="14EC0CCF"/>
    <w:rsid w:val="14F46C56"/>
    <w:rsid w:val="14FA1063"/>
    <w:rsid w:val="150427DD"/>
    <w:rsid w:val="150A68E8"/>
    <w:rsid w:val="150C4874"/>
    <w:rsid w:val="150E7A37"/>
    <w:rsid w:val="150F153E"/>
    <w:rsid w:val="15105570"/>
    <w:rsid w:val="151457E8"/>
    <w:rsid w:val="151747B2"/>
    <w:rsid w:val="15176054"/>
    <w:rsid w:val="151F324C"/>
    <w:rsid w:val="1522434C"/>
    <w:rsid w:val="15225006"/>
    <w:rsid w:val="15226C79"/>
    <w:rsid w:val="15250AAC"/>
    <w:rsid w:val="15264387"/>
    <w:rsid w:val="152C5A16"/>
    <w:rsid w:val="152E130A"/>
    <w:rsid w:val="15340CFF"/>
    <w:rsid w:val="15361F1A"/>
    <w:rsid w:val="15393DE1"/>
    <w:rsid w:val="153B0D4F"/>
    <w:rsid w:val="154038B4"/>
    <w:rsid w:val="15412A0C"/>
    <w:rsid w:val="154820F2"/>
    <w:rsid w:val="15490027"/>
    <w:rsid w:val="154A1EDD"/>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2014F"/>
    <w:rsid w:val="15932D64"/>
    <w:rsid w:val="159668BE"/>
    <w:rsid w:val="159C7418"/>
    <w:rsid w:val="15A075BE"/>
    <w:rsid w:val="15A50240"/>
    <w:rsid w:val="15A730AB"/>
    <w:rsid w:val="15AA3264"/>
    <w:rsid w:val="15B0182F"/>
    <w:rsid w:val="15B10F22"/>
    <w:rsid w:val="15B27CF5"/>
    <w:rsid w:val="15B3688A"/>
    <w:rsid w:val="15BD3CA1"/>
    <w:rsid w:val="15BE5020"/>
    <w:rsid w:val="15C3766C"/>
    <w:rsid w:val="15C44867"/>
    <w:rsid w:val="15C47F25"/>
    <w:rsid w:val="15D46B42"/>
    <w:rsid w:val="15D916B7"/>
    <w:rsid w:val="15DA36FD"/>
    <w:rsid w:val="15E2342D"/>
    <w:rsid w:val="15E70479"/>
    <w:rsid w:val="15E974BD"/>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14767F"/>
    <w:rsid w:val="162022AB"/>
    <w:rsid w:val="16210419"/>
    <w:rsid w:val="1624223A"/>
    <w:rsid w:val="162475DF"/>
    <w:rsid w:val="16257DAC"/>
    <w:rsid w:val="16291BB7"/>
    <w:rsid w:val="162937CE"/>
    <w:rsid w:val="163019BF"/>
    <w:rsid w:val="163342D2"/>
    <w:rsid w:val="16414828"/>
    <w:rsid w:val="164456D7"/>
    <w:rsid w:val="164E13D0"/>
    <w:rsid w:val="16502B8D"/>
    <w:rsid w:val="165465C7"/>
    <w:rsid w:val="1655029C"/>
    <w:rsid w:val="165524AC"/>
    <w:rsid w:val="16553CFC"/>
    <w:rsid w:val="16622576"/>
    <w:rsid w:val="166E2E44"/>
    <w:rsid w:val="167652D1"/>
    <w:rsid w:val="167B3F35"/>
    <w:rsid w:val="167B4CFE"/>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A92D85"/>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711F8"/>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A7C1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113C3"/>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41224"/>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1320C"/>
    <w:rsid w:val="1A8A4E75"/>
    <w:rsid w:val="1A8F4A54"/>
    <w:rsid w:val="1A907092"/>
    <w:rsid w:val="1A951D32"/>
    <w:rsid w:val="1A997C12"/>
    <w:rsid w:val="1AA01501"/>
    <w:rsid w:val="1AA1217C"/>
    <w:rsid w:val="1AA14158"/>
    <w:rsid w:val="1AA220AB"/>
    <w:rsid w:val="1AAA234F"/>
    <w:rsid w:val="1AAC41E5"/>
    <w:rsid w:val="1AB26A04"/>
    <w:rsid w:val="1ABC508F"/>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D63CE"/>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E3FFF"/>
    <w:rsid w:val="1BC153A7"/>
    <w:rsid w:val="1BC57256"/>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83AC0"/>
    <w:rsid w:val="1C2A40BF"/>
    <w:rsid w:val="1C2E4B85"/>
    <w:rsid w:val="1C396428"/>
    <w:rsid w:val="1C3B0B57"/>
    <w:rsid w:val="1C3B190C"/>
    <w:rsid w:val="1C4412A9"/>
    <w:rsid w:val="1C4A0EAE"/>
    <w:rsid w:val="1C4C5610"/>
    <w:rsid w:val="1C4C6669"/>
    <w:rsid w:val="1C5039DB"/>
    <w:rsid w:val="1C505A77"/>
    <w:rsid w:val="1C586C59"/>
    <w:rsid w:val="1C69538F"/>
    <w:rsid w:val="1C6F7ABE"/>
    <w:rsid w:val="1C704DD8"/>
    <w:rsid w:val="1C727B26"/>
    <w:rsid w:val="1C784DDC"/>
    <w:rsid w:val="1C8B6F58"/>
    <w:rsid w:val="1C8E320F"/>
    <w:rsid w:val="1C92272E"/>
    <w:rsid w:val="1C943CF8"/>
    <w:rsid w:val="1C984AFA"/>
    <w:rsid w:val="1C9B225B"/>
    <w:rsid w:val="1C9F295C"/>
    <w:rsid w:val="1CA12184"/>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501FB"/>
    <w:rsid w:val="1D2740FC"/>
    <w:rsid w:val="1D2A48BA"/>
    <w:rsid w:val="1D2F6DCA"/>
    <w:rsid w:val="1D326D68"/>
    <w:rsid w:val="1D36380C"/>
    <w:rsid w:val="1D3A022D"/>
    <w:rsid w:val="1D3E5848"/>
    <w:rsid w:val="1D3F04B1"/>
    <w:rsid w:val="1D4511CA"/>
    <w:rsid w:val="1D472010"/>
    <w:rsid w:val="1D4804FB"/>
    <w:rsid w:val="1D537970"/>
    <w:rsid w:val="1D560A9B"/>
    <w:rsid w:val="1D5B0EB0"/>
    <w:rsid w:val="1D5D4A37"/>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61646"/>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0F18D3"/>
    <w:rsid w:val="1E110C6E"/>
    <w:rsid w:val="1E1379F8"/>
    <w:rsid w:val="1E1461B7"/>
    <w:rsid w:val="1E190EEC"/>
    <w:rsid w:val="1E1E03D3"/>
    <w:rsid w:val="1E2D4B90"/>
    <w:rsid w:val="1E2E1619"/>
    <w:rsid w:val="1E2F16AA"/>
    <w:rsid w:val="1E314C83"/>
    <w:rsid w:val="1E3B10FE"/>
    <w:rsid w:val="1E415F1B"/>
    <w:rsid w:val="1E4636A4"/>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E70CF"/>
    <w:rsid w:val="1EE3112E"/>
    <w:rsid w:val="1EE37570"/>
    <w:rsid w:val="1EF7645D"/>
    <w:rsid w:val="1EFA0382"/>
    <w:rsid w:val="1F013EF9"/>
    <w:rsid w:val="1F0456EE"/>
    <w:rsid w:val="1F0D0F04"/>
    <w:rsid w:val="1F0E131F"/>
    <w:rsid w:val="1F0F2F71"/>
    <w:rsid w:val="1F136E8C"/>
    <w:rsid w:val="1F1C6330"/>
    <w:rsid w:val="1F211816"/>
    <w:rsid w:val="1F237A64"/>
    <w:rsid w:val="1F240711"/>
    <w:rsid w:val="1F281429"/>
    <w:rsid w:val="1F291073"/>
    <w:rsid w:val="1F2A2646"/>
    <w:rsid w:val="1F2E3986"/>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0D1B"/>
    <w:rsid w:val="1F765053"/>
    <w:rsid w:val="1F7708D9"/>
    <w:rsid w:val="1F7864CB"/>
    <w:rsid w:val="1F7D1E41"/>
    <w:rsid w:val="1F806D7E"/>
    <w:rsid w:val="1F845E1B"/>
    <w:rsid w:val="1F871D12"/>
    <w:rsid w:val="1F8F4EA8"/>
    <w:rsid w:val="1F977357"/>
    <w:rsid w:val="1F9A4420"/>
    <w:rsid w:val="1F9C2030"/>
    <w:rsid w:val="1F9D5BB8"/>
    <w:rsid w:val="1F9E5C18"/>
    <w:rsid w:val="1FA50249"/>
    <w:rsid w:val="1FAA09E6"/>
    <w:rsid w:val="1FAB6CD7"/>
    <w:rsid w:val="1FAE3795"/>
    <w:rsid w:val="1FAF489E"/>
    <w:rsid w:val="1FB15F08"/>
    <w:rsid w:val="1FBB3739"/>
    <w:rsid w:val="1FC115AD"/>
    <w:rsid w:val="1FC70AB5"/>
    <w:rsid w:val="1FCB00B8"/>
    <w:rsid w:val="1FCB0B4F"/>
    <w:rsid w:val="1FCE3369"/>
    <w:rsid w:val="1FD06AC3"/>
    <w:rsid w:val="1FD41A09"/>
    <w:rsid w:val="1FD70C2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A54164"/>
    <w:rsid w:val="20B144B3"/>
    <w:rsid w:val="20B17976"/>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09A1"/>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74406"/>
    <w:rsid w:val="223C191A"/>
    <w:rsid w:val="223F5B17"/>
    <w:rsid w:val="22426E3C"/>
    <w:rsid w:val="22446B35"/>
    <w:rsid w:val="22470F04"/>
    <w:rsid w:val="224E7D56"/>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8D17DB"/>
    <w:rsid w:val="229150BB"/>
    <w:rsid w:val="2294048A"/>
    <w:rsid w:val="229A472F"/>
    <w:rsid w:val="22A76E5F"/>
    <w:rsid w:val="22AE201B"/>
    <w:rsid w:val="22AF27D5"/>
    <w:rsid w:val="22B16E50"/>
    <w:rsid w:val="22B414AA"/>
    <w:rsid w:val="22B41D89"/>
    <w:rsid w:val="22B60E4E"/>
    <w:rsid w:val="22BB77FD"/>
    <w:rsid w:val="22BD44C5"/>
    <w:rsid w:val="22BD7C4E"/>
    <w:rsid w:val="22BF4862"/>
    <w:rsid w:val="22C1586D"/>
    <w:rsid w:val="22C27100"/>
    <w:rsid w:val="22CA16DE"/>
    <w:rsid w:val="22CB0049"/>
    <w:rsid w:val="22CD7FC8"/>
    <w:rsid w:val="22D25130"/>
    <w:rsid w:val="22D62F3B"/>
    <w:rsid w:val="22DE041B"/>
    <w:rsid w:val="22F729DC"/>
    <w:rsid w:val="22F8583A"/>
    <w:rsid w:val="22FF232F"/>
    <w:rsid w:val="23001CE0"/>
    <w:rsid w:val="2302236B"/>
    <w:rsid w:val="2307664C"/>
    <w:rsid w:val="23096319"/>
    <w:rsid w:val="230A7B8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1058B"/>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CA3C3E"/>
    <w:rsid w:val="23D369CB"/>
    <w:rsid w:val="23D9150E"/>
    <w:rsid w:val="23DB382B"/>
    <w:rsid w:val="23DE55F8"/>
    <w:rsid w:val="23E270CF"/>
    <w:rsid w:val="23EE2623"/>
    <w:rsid w:val="23F44C73"/>
    <w:rsid w:val="23FA2BA1"/>
    <w:rsid w:val="23FC5BF0"/>
    <w:rsid w:val="23FD4C20"/>
    <w:rsid w:val="23FE7FE4"/>
    <w:rsid w:val="24001A5A"/>
    <w:rsid w:val="240A18D8"/>
    <w:rsid w:val="240B22FC"/>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BD2003"/>
    <w:rsid w:val="24C7445D"/>
    <w:rsid w:val="24CB2D6B"/>
    <w:rsid w:val="24CC5B22"/>
    <w:rsid w:val="24D06A26"/>
    <w:rsid w:val="24DA7AC3"/>
    <w:rsid w:val="24E30119"/>
    <w:rsid w:val="24EB7C74"/>
    <w:rsid w:val="24EC4C92"/>
    <w:rsid w:val="24EE4DDC"/>
    <w:rsid w:val="24F1003B"/>
    <w:rsid w:val="24F21731"/>
    <w:rsid w:val="24F664DC"/>
    <w:rsid w:val="24FD418E"/>
    <w:rsid w:val="250052D0"/>
    <w:rsid w:val="25020D7F"/>
    <w:rsid w:val="25071EFC"/>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B56BB"/>
    <w:rsid w:val="25AC5370"/>
    <w:rsid w:val="25AC7500"/>
    <w:rsid w:val="25B12E79"/>
    <w:rsid w:val="25B25EF3"/>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26767"/>
    <w:rsid w:val="261A14B6"/>
    <w:rsid w:val="261D31A9"/>
    <w:rsid w:val="26246E3B"/>
    <w:rsid w:val="262A73C0"/>
    <w:rsid w:val="262B52C5"/>
    <w:rsid w:val="262D78D8"/>
    <w:rsid w:val="262F3AEB"/>
    <w:rsid w:val="26361C20"/>
    <w:rsid w:val="263A1E7C"/>
    <w:rsid w:val="263B5AEF"/>
    <w:rsid w:val="26411D4B"/>
    <w:rsid w:val="264278DB"/>
    <w:rsid w:val="264C0C16"/>
    <w:rsid w:val="265A588F"/>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087363"/>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27107"/>
    <w:rsid w:val="27662EEA"/>
    <w:rsid w:val="27670DEF"/>
    <w:rsid w:val="277342FE"/>
    <w:rsid w:val="2773577D"/>
    <w:rsid w:val="27777E23"/>
    <w:rsid w:val="277B02C6"/>
    <w:rsid w:val="27821D9C"/>
    <w:rsid w:val="27860B41"/>
    <w:rsid w:val="278A7676"/>
    <w:rsid w:val="278E0A47"/>
    <w:rsid w:val="278E2D37"/>
    <w:rsid w:val="279121D8"/>
    <w:rsid w:val="2794232D"/>
    <w:rsid w:val="2795663C"/>
    <w:rsid w:val="27A60643"/>
    <w:rsid w:val="27A72D26"/>
    <w:rsid w:val="27A9577A"/>
    <w:rsid w:val="27B40B8B"/>
    <w:rsid w:val="27BB7D18"/>
    <w:rsid w:val="27BF2614"/>
    <w:rsid w:val="27C91DCF"/>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4585C"/>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208D"/>
    <w:rsid w:val="290C3541"/>
    <w:rsid w:val="290E7A11"/>
    <w:rsid w:val="290F19FA"/>
    <w:rsid w:val="290F750B"/>
    <w:rsid w:val="29152A36"/>
    <w:rsid w:val="291B447E"/>
    <w:rsid w:val="29223848"/>
    <w:rsid w:val="29244DC0"/>
    <w:rsid w:val="2924662A"/>
    <w:rsid w:val="29246A3D"/>
    <w:rsid w:val="29274AB5"/>
    <w:rsid w:val="29291E56"/>
    <w:rsid w:val="292C29EC"/>
    <w:rsid w:val="29304A2C"/>
    <w:rsid w:val="293462E5"/>
    <w:rsid w:val="293748E7"/>
    <w:rsid w:val="293918FF"/>
    <w:rsid w:val="29487161"/>
    <w:rsid w:val="294966A8"/>
    <w:rsid w:val="294C7571"/>
    <w:rsid w:val="294E1304"/>
    <w:rsid w:val="294E505B"/>
    <w:rsid w:val="29522EF8"/>
    <w:rsid w:val="29532B1A"/>
    <w:rsid w:val="29566262"/>
    <w:rsid w:val="29566743"/>
    <w:rsid w:val="295709E8"/>
    <w:rsid w:val="2958159E"/>
    <w:rsid w:val="296367A1"/>
    <w:rsid w:val="29673530"/>
    <w:rsid w:val="296F7076"/>
    <w:rsid w:val="29715025"/>
    <w:rsid w:val="297D4711"/>
    <w:rsid w:val="298C1A5A"/>
    <w:rsid w:val="298D6AFF"/>
    <w:rsid w:val="29967DE1"/>
    <w:rsid w:val="299B7D69"/>
    <w:rsid w:val="29A703FA"/>
    <w:rsid w:val="29B07A4C"/>
    <w:rsid w:val="29B1741C"/>
    <w:rsid w:val="29B36D13"/>
    <w:rsid w:val="29B51F90"/>
    <w:rsid w:val="29B64603"/>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B5893"/>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6E2CA8"/>
    <w:rsid w:val="2B7C4C13"/>
    <w:rsid w:val="2B895873"/>
    <w:rsid w:val="2B8A4975"/>
    <w:rsid w:val="2B8E4C11"/>
    <w:rsid w:val="2B9550CE"/>
    <w:rsid w:val="2B9967D6"/>
    <w:rsid w:val="2B9C7241"/>
    <w:rsid w:val="2BA01AB2"/>
    <w:rsid w:val="2BA1091C"/>
    <w:rsid w:val="2BA326B6"/>
    <w:rsid w:val="2BA4061C"/>
    <w:rsid w:val="2BA519F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95A18"/>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75B8F"/>
    <w:rsid w:val="2CE914BE"/>
    <w:rsid w:val="2CEA0BBE"/>
    <w:rsid w:val="2CF03153"/>
    <w:rsid w:val="2CFE082A"/>
    <w:rsid w:val="2D03574C"/>
    <w:rsid w:val="2D04025E"/>
    <w:rsid w:val="2D0772FD"/>
    <w:rsid w:val="2D0947D4"/>
    <w:rsid w:val="2D0C28DF"/>
    <w:rsid w:val="2D13536A"/>
    <w:rsid w:val="2D233963"/>
    <w:rsid w:val="2D2557EC"/>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5204A"/>
    <w:rsid w:val="2E06618B"/>
    <w:rsid w:val="2E1931E7"/>
    <w:rsid w:val="2E1F4650"/>
    <w:rsid w:val="2E281711"/>
    <w:rsid w:val="2E3323F0"/>
    <w:rsid w:val="2E3656F1"/>
    <w:rsid w:val="2E421513"/>
    <w:rsid w:val="2E4222B5"/>
    <w:rsid w:val="2E44329B"/>
    <w:rsid w:val="2E495B3D"/>
    <w:rsid w:val="2E4F56C8"/>
    <w:rsid w:val="2E540FD3"/>
    <w:rsid w:val="2E5962C8"/>
    <w:rsid w:val="2E596301"/>
    <w:rsid w:val="2E596FC7"/>
    <w:rsid w:val="2E5A68F4"/>
    <w:rsid w:val="2E5D1B8D"/>
    <w:rsid w:val="2E5F40D2"/>
    <w:rsid w:val="2E603C24"/>
    <w:rsid w:val="2E625789"/>
    <w:rsid w:val="2E63294B"/>
    <w:rsid w:val="2E674A9C"/>
    <w:rsid w:val="2E6B30C9"/>
    <w:rsid w:val="2E6B37B5"/>
    <w:rsid w:val="2E731D91"/>
    <w:rsid w:val="2E741685"/>
    <w:rsid w:val="2E825277"/>
    <w:rsid w:val="2E8A073B"/>
    <w:rsid w:val="2E8C1999"/>
    <w:rsid w:val="2E8D13AF"/>
    <w:rsid w:val="2E904A8A"/>
    <w:rsid w:val="2E906C3C"/>
    <w:rsid w:val="2E997981"/>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27E2E"/>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87E23"/>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2A133B"/>
    <w:rsid w:val="30341BB0"/>
    <w:rsid w:val="303620E5"/>
    <w:rsid w:val="303A3879"/>
    <w:rsid w:val="303D0DE2"/>
    <w:rsid w:val="303E7772"/>
    <w:rsid w:val="30420E93"/>
    <w:rsid w:val="30436446"/>
    <w:rsid w:val="30464DB9"/>
    <w:rsid w:val="304B2C4A"/>
    <w:rsid w:val="305008C1"/>
    <w:rsid w:val="30580F44"/>
    <w:rsid w:val="305D51AD"/>
    <w:rsid w:val="30601159"/>
    <w:rsid w:val="30605A0A"/>
    <w:rsid w:val="30616BA5"/>
    <w:rsid w:val="30620D34"/>
    <w:rsid w:val="30651A2D"/>
    <w:rsid w:val="30676EC0"/>
    <w:rsid w:val="306B4722"/>
    <w:rsid w:val="306C0885"/>
    <w:rsid w:val="306D312F"/>
    <w:rsid w:val="30750481"/>
    <w:rsid w:val="307847F3"/>
    <w:rsid w:val="3079242F"/>
    <w:rsid w:val="307942EA"/>
    <w:rsid w:val="307B2FA3"/>
    <w:rsid w:val="307C738E"/>
    <w:rsid w:val="307F585F"/>
    <w:rsid w:val="308159F9"/>
    <w:rsid w:val="308172BE"/>
    <w:rsid w:val="308378CE"/>
    <w:rsid w:val="308503C6"/>
    <w:rsid w:val="308B6965"/>
    <w:rsid w:val="308F06FD"/>
    <w:rsid w:val="308F15E0"/>
    <w:rsid w:val="309055B2"/>
    <w:rsid w:val="30905A18"/>
    <w:rsid w:val="30A55D26"/>
    <w:rsid w:val="30A852D9"/>
    <w:rsid w:val="30A93DA0"/>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51BBE"/>
    <w:rsid w:val="312A3D0F"/>
    <w:rsid w:val="312A699B"/>
    <w:rsid w:val="312D6563"/>
    <w:rsid w:val="312D6D92"/>
    <w:rsid w:val="31311AA0"/>
    <w:rsid w:val="313344AE"/>
    <w:rsid w:val="314A732D"/>
    <w:rsid w:val="315B288C"/>
    <w:rsid w:val="315F34F5"/>
    <w:rsid w:val="31625BD9"/>
    <w:rsid w:val="3165203B"/>
    <w:rsid w:val="31731696"/>
    <w:rsid w:val="317675CF"/>
    <w:rsid w:val="317A5F6E"/>
    <w:rsid w:val="31802145"/>
    <w:rsid w:val="318031E5"/>
    <w:rsid w:val="31846B58"/>
    <w:rsid w:val="318648B5"/>
    <w:rsid w:val="31864A48"/>
    <w:rsid w:val="318B5416"/>
    <w:rsid w:val="319E0737"/>
    <w:rsid w:val="319F16BE"/>
    <w:rsid w:val="31A65BAC"/>
    <w:rsid w:val="31AA69D6"/>
    <w:rsid w:val="31AD308F"/>
    <w:rsid w:val="31AE6E4A"/>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7F7F4C"/>
    <w:rsid w:val="32930307"/>
    <w:rsid w:val="32965784"/>
    <w:rsid w:val="32A006DD"/>
    <w:rsid w:val="32A138B0"/>
    <w:rsid w:val="32A36BC3"/>
    <w:rsid w:val="32A90F02"/>
    <w:rsid w:val="32AB4A3E"/>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221B2"/>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A2D5B"/>
    <w:rsid w:val="338B1267"/>
    <w:rsid w:val="33915561"/>
    <w:rsid w:val="33952B15"/>
    <w:rsid w:val="33953748"/>
    <w:rsid w:val="339D641B"/>
    <w:rsid w:val="339F747C"/>
    <w:rsid w:val="33A41288"/>
    <w:rsid w:val="33A75E06"/>
    <w:rsid w:val="33AD3600"/>
    <w:rsid w:val="33C14525"/>
    <w:rsid w:val="33C63036"/>
    <w:rsid w:val="33C758AF"/>
    <w:rsid w:val="33C979F1"/>
    <w:rsid w:val="33CA72F2"/>
    <w:rsid w:val="33CE34C9"/>
    <w:rsid w:val="33CF32BC"/>
    <w:rsid w:val="33D51CFB"/>
    <w:rsid w:val="33D63892"/>
    <w:rsid w:val="33DA3C12"/>
    <w:rsid w:val="33DB58EF"/>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45B43"/>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8B2CA4"/>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33399"/>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CE06A0"/>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B487D"/>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E54B36"/>
    <w:rsid w:val="36F2275F"/>
    <w:rsid w:val="36F62B81"/>
    <w:rsid w:val="36F62C74"/>
    <w:rsid w:val="36FB257D"/>
    <w:rsid w:val="3705353A"/>
    <w:rsid w:val="370747C9"/>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165F"/>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61AAC"/>
    <w:rsid w:val="38091FFF"/>
    <w:rsid w:val="3809520B"/>
    <w:rsid w:val="380F6701"/>
    <w:rsid w:val="38124A9D"/>
    <w:rsid w:val="381A4BF6"/>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2E34EF"/>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02C2C"/>
    <w:rsid w:val="397526B1"/>
    <w:rsid w:val="3976477E"/>
    <w:rsid w:val="39796003"/>
    <w:rsid w:val="397D61CF"/>
    <w:rsid w:val="397F361D"/>
    <w:rsid w:val="3981687C"/>
    <w:rsid w:val="3984702E"/>
    <w:rsid w:val="39887A03"/>
    <w:rsid w:val="398D258D"/>
    <w:rsid w:val="39952D0A"/>
    <w:rsid w:val="39A04307"/>
    <w:rsid w:val="39A703A5"/>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A4BC0"/>
    <w:rsid w:val="3A1C5DFA"/>
    <w:rsid w:val="3A1D4E9A"/>
    <w:rsid w:val="3A1E5C85"/>
    <w:rsid w:val="3A227A56"/>
    <w:rsid w:val="3A236FE9"/>
    <w:rsid w:val="3A245807"/>
    <w:rsid w:val="3A2A7209"/>
    <w:rsid w:val="3A3142E2"/>
    <w:rsid w:val="3A3325F3"/>
    <w:rsid w:val="3A344169"/>
    <w:rsid w:val="3A3530C5"/>
    <w:rsid w:val="3A3F063C"/>
    <w:rsid w:val="3A427FBB"/>
    <w:rsid w:val="3A497F4C"/>
    <w:rsid w:val="3A4B1747"/>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43B61"/>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CD72CB"/>
    <w:rsid w:val="3BD04B90"/>
    <w:rsid w:val="3BD22F20"/>
    <w:rsid w:val="3BDB52B7"/>
    <w:rsid w:val="3BE13EB8"/>
    <w:rsid w:val="3BE511CB"/>
    <w:rsid w:val="3BEE6FB8"/>
    <w:rsid w:val="3BF131AA"/>
    <w:rsid w:val="3BF21710"/>
    <w:rsid w:val="3BF4498C"/>
    <w:rsid w:val="3BFA6FF0"/>
    <w:rsid w:val="3C07370F"/>
    <w:rsid w:val="3C10036C"/>
    <w:rsid w:val="3C1E081A"/>
    <w:rsid w:val="3C21555E"/>
    <w:rsid w:val="3C265BD8"/>
    <w:rsid w:val="3C293D95"/>
    <w:rsid w:val="3C2B5766"/>
    <w:rsid w:val="3C2C41E6"/>
    <w:rsid w:val="3C2F7FAA"/>
    <w:rsid w:val="3C302D11"/>
    <w:rsid w:val="3C313CBE"/>
    <w:rsid w:val="3C3D7B62"/>
    <w:rsid w:val="3C4063BD"/>
    <w:rsid w:val="3C4C3D85"/>
    <w:rsid w:val="3C4D6B5C"/>
    <w:rsid w:val="3C4F0273"/>
    <w:rsid w:val="3C547598"/>
    <w:rsid w:val="3C5532AC"/>
    <w:rsid w:val="3C5775B8"/>
    <w:rsid w:val="3C64429D"/>
    <w:rsid w:val="3C651B5F"/>
    <w:rsid w:val="3C6B6A77"/>
    <w:rsid w:val="3C6D5054"/>
    <w:rsid w:val="3C705F26"/>
    <w:rsid w:val="3C780470"/>
    <w:rsid w:val="3C7D236C"/>
    <w:rsid w:val="3C914E1A"/>
    <w:rsid w:val="3C9474FB"/>
    <w:rsid w:val="3C961419"/>
    <w:rsid w:val="3C9E3977"/>
    <w:rsid w:val="3CA12CEA"/>
    <w:rsid w:val="3CA1514C"/>
    <w:rsid w:val="3CA40A32"/>
    <w:rsid w:val="3CAE61AF"/>
    <w:rsid w:val="3CBD6D74"/>
    <w:rsid w:val="3CC13333"/>
    <w:rsid w:val="3CCB357A"/>
    <w:rsid w:val="3CD259B2"/>
    <w:rsid w:val="3CDD6783"/>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A3034"/>
    <w:rsid w:val="3D2E364F"/>
    <w:rsid w:val="3D330529"/>
    <w:rsid w:val="3D350B20"/>
    <w:rsid w:val="3D392003"/>
    <w:rsid w:val="3D416EA9"/>
    <w:rsid w:val="3D465130"/>
    <w:rsid w:val="3D4A120B"/>
    <w:rsid w:val="3D4E3E7A"/>
    <w:rsid w:val="3D4E400A"/>
    <w:rsid w:val="3D5549C8"/>
    <w:rsid w:val="3D5D4227"/>
    <w:rsid w:val="3D6C28B1"/>
    <w:rsid w:val="3D6F52B4"/>
    <w:rsid w:val="3D7555CB"/>
    <w:rsid w:val="3D7712B7"/>
    <w:rsid w:val="3D7B1C6C"/>
    <w:rsid w:val="3D810870"/>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1F5291"/>
    <w:rsid w:val="3E2B0F56"/>
    <w:rsid w:val="3E315C9A"/>
    <w:rsid w:val="3E3232D4"/>
    <w:rsid w:val="3E3559AD"/>
    <w:rsid w:val="3E376525"/>
    <w:rsid w:val="3E3C0B32"/>
    <w:rsid w:val="3E465299"/>
    <w:rsid w:val="3E4B0C0A"/>
    <w:rsid w:val="3E5211F8"/>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AE0169"/>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17CE2"/>
    <w:rsid w:val="3FE37B6D"/>
    <w:rsid w:val="3FE55521"/>
    <w:rsid w:val="3FE87344"/>
    <w:rsid w:val="3FEC092A"/>
    <w:rsid w:val="3FED59DB"/>
    <w:rsid w:val="3FED66AF"/>
    <w:rsid w:val="3FEE0476"/>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D6A34"/>
    <w:rsid w:val="40BE4EB2"/>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631E3"/>
    <w:rsid w:val="410814CC"/>
    <w:rsid w:val="41090D7C"/>
    <w:rsid w:val="410A0556"/>
    <w:rsid w:val="410F2F53"/>
    <w:rsid w:val="411772FD"/>
    <w:rsid w:val="411974FF"/>
    <w:rsid w:val="411B0CCA"/>
    <w:rsid w:val="411B1C5A"/>
    <w:rsid w:val="411B75C9"/>
    <w:rsid w:val="411C226A"/>
    <w:rsid w:val="41241857"/>
    <w:rsid w:val="412628C0"/>
    <w:rsid w:val="41390A07"/>
    <w:rsid w:val="413F5188"/>
    <w:rsid w:val="414269B3"/>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33D1A"/>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D3333"/>
    <w:rsid w:val="41DF2F70"/>
    <w:rsid w:val="41E224AE"/>
    <w:rsid w:val="41E756B0"/>
    <w:rsid w:val="41E971DB"/>
    <w:rsid w:val="41ED1734"/>
    <w:rsid w:val="41F4693E"/>
    <w:rsid w:val="41F553C7"/>
    <w:rsid w:val="41FD3BFE"/>
    <w:rsid w:val="42080B34"/>
    <w:rsid w:val="420C2676"/>
    <w:rsid w:val="42145CBE"/>
    <w:rsid w:val="42197C91"/>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C41D8"/>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67CDF"/>
    <w:rsid w:val="433E6455"/>
    <w:rsid w:val="434425F8"/>
    <w:rsid w:val="434461A7"/>
    <w:rsid w:val="4345760E"/>
    <w:rsid w:val="434677FF"/>
    <w:rsid w:val="43496B59"/>
    <w:rsid w:val="43521443"/>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31A82"/>
    <w:rsid w:val="439926C0"/>
    <w:rsid w:val="439D2829"/>
    <w:rsid w:val="43A169B7"/>
    <w:rsid w:val="43AF32A1"/>
    <w:rsid w:val="43B16182"/>
    <w:rsid w:val="43B16C55"/>
    <w:rsid w:val="43B23333"/>
    <w:rsid w:val="43BB11FD"/>
    <w:rsid w:val="43BD2FE6"/>
    <w:rsid w:val="43C0251E"/>
    <w:rsid w:val="43C10A48"/>
    <w:rsid w:val="43C157EF"/>
    <w:rsid w:val="43D73936"/>
    <w:rsid w:val="43D82A2C"/>
    <w:rsid w:val="43DF4BED"/>
    <w:rsid w:val="43E722A3"/>
    <w:rsid w:val="43EE0AA9"/>
    <w:rsid w:val="43EF62AC"/>
    <w:rsid w:val="43F13345"/>
    <w:rsid w:val="43F86AD8"/>
    <w:rsid w:val="43F95C99"/>
    <w:rsid w:val="43FA5C03"/>
    <w:rsid w:val="43FC500F"/>
    <w:rsid w:val="43FE7E59"/>
    <w:rsid w:val="44033801"/>
    <w:rsid w:val="44033E9C"/>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A2759"/>
    <w:rsid w:val="445B422E"/>
    <w:rsid w:val="445E7171"/>
    <w:rsid w:val="445F38CD"/>
    <w:rsid w:val="44607765"/>
    <w:rsid w:val="446768BB"/>
    <w:rsid w:val="4469781B"/>
    <w:rsid w:val="446B012C"/>
    <w:rsid w:val="44724C49"/>
    <w:rsid w:val="44735953"/>
    <w:rsid w:val="447A6E2E"/>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53886"/>
    <w:rsid w:val="459A5728"/>
    <w:rsid w:val="45A15464"/>
    <w:rsid w:val="45A54B2C"/>
    <w:rsid w:val="45A806FF"/>
    <w:rsid w:val="45AE4807"/>
    <w:rsid w:val="45B81980"/>
    <w:rsid w:val="45BA35B2"/>
    <w:rsid w:val="45C0090A"/>
    <w:rsid w:val="45C2287C"/>
    <w:rsid w:val="45C647F0"/>
    <w:rsid w:val="45CB1DBD"/>
    <w:rsid w:val="45CD779B"/>
    <w:rsid w:val="45D13678"/>
    <w:rsid w:val="45DA4021"/>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06175"/>
    <w:rsid w:val="46A15B02"/>
    <w:rsid w:val="46A47094"/>
    <w:rsid w:val="46AB0B09"/>
    <w:rsid w:val="46AD3657"/>
    <w:rsid w:val="46AF0CFC"/>
    <w:rsid w:val="46B34F58"/>
    <w:rsid w:val="46B62C92"/>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6068F1"/>
    <w:rsid w:val="47641EB1"/>
    <w:rsid w:val="4768463A"/>
    <w:rsid w:val="476A715B"/>
    <w:rsid w:val="476B4434"/>
    <w:rsid w:val="476E2BE3"/>
    <w:rsid w:val="47716C2D"/>
    <w:rsid w:val="47745B57"/>
    <w:rsid w:val="47763B2D"/>
    <w:rsid w:val="477665CC"/>
    <w:rsid w:val="477A44CC"/>
    <w:rsid w:val="477B277D"/>
    <w:rsid w:val="477C2090"/>
    <w:rsid w:val="478373EB"/>
    <w:rsid w:val="478A3491"/>
    <w:rsid w:val="478A5B52"/>
    <w:rsid w:val="47916BFA"/>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64D04"/>
    <w:rsid w:val="47DB6B4A"/>
    <w:rsid w:val="47E73451"/>
    <w:rsid w:val="47ED5F46"/>
    <w:rsid w:val="47F16CDC"/>
    <w:rsid w:val="47F53576"/>
    <w:rsid w:val="47F55249"/>
    <w:rsid w:val="47F64590"/>
    <w:rsid w:val="47F71CF4"/>
    <w:rsid w:val="47F809A7"/>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45227"/>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219DC"/>
    <w:rsid w:val="48B32DFD"/>
    <w:rsid w:val="48B54B11"/>
    <w:rsid w:val="48B707D0"/>
    <w:rsid w:val="48C27A4C"/>
    <w:rsid w:val="48C43321"/>
    <w:rsid w:val="48C63B56"/>
    <w:rsid w:val="48D0509E"/>
    <w:rsid w:val="48DB1003"/>
    <w:rsid w:val="48E10B93"/>
    <w:rsid w:val="48E34741"/>
    <w:rsid w:val="48ED742E"/>
    <w:rsid w:val="48EF18C9"/>
    <w:rsid w:val="48F82359"/>
    <w:rsid w:val="48FB40DA"/>
    <w:rsid w:val="48FD5F69"/>
    <w:rsid w:val="49004F9E"/>
    <w:rsid w:val="4903293F"/>
    <w:rsid w:val="49065038"/>
    <w:rsid w:val="490941C4"/>
    <w:rsid w:val="490E4F71"/>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3C5028"/>
    <w:rsid w:val="49403057"/>
    <w:rsid w:val="49407EF1"/>
    <w:rsid w:val="4942210A"/>
    <w:rsid w:val="49436453"/>
    <w:rsid w:val="49442EDC"/>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F5423"/>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07CE3"/>
    <w:rsid w:val="49E11966"/>
    <w:rsid w:val="49E16086"/>
    <w:rsid w:val="49EB78E5"/>
    <w:rsid w:val="49EE2D6D"/>
    <w:rsid w:val="49F1304C"/>
    <w:rsid w:val="49F40FD5"/>
    <w:rsid w:val="49FB1B6C"/>
    <w:rsid w:val="49FB30D5"/>
    <w:rsid w:val="49FE1F48"/>
    <w:rsid w:val="49FF1D8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411FD"/>
    <w:rsid w:val="4ACF133B"/>
    <w:rsid w:val="4AD13278"/>
    <w:rsid w:val="4AD228E8"/>
    <w:rsid w:val="4AD67579"/>
    <w:rsid w:val="4AD76B5B"/>
    <w:rsid w:val="4AE04436"/>
    <w:rsid w:val="4AE54455"/>
    <w:rsid w:val="4AE611E2"/>
    <w:rsid w:val="4AEA5C90"/>
    <w:rsid w:val="4AEA6393"/>
    <w:rsid w:val="4AEF0DD0"/>
    <w:rsid w:val="4AF17E98"/>
    <w:rsid w:val="4AF50A41"/>
    <w:rsid w:val="4AFB18B0"/>
    <w:rsid w:val="4B004A59"/>
    <w:rsid w:val="4B0261A7"/>
    <w:rsid w:val="4B0315AF"/>
    <w:rsid w:val="4B033329"/>
    <w:rsid w:val="4B07269D"/>
    <w:rsid w:val="4B092A4D"/>
    <w:rsid w:val="4B0F65C0"/>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2041C"/>
    <w:rsid w:val="4BA42BD9"/>
    <w:rsid w:val="4BAE122E"/>
    <w:rsid w:val="4BBC02D7"/>
    <w:rsid w:val="4BC12B18"/>
    <w:rsid w:val="4BC61DC5"/>
    <w:rsid w:val="4BC63121"/>
    <w:rsid w:val="4BD20C60"/>
    <w:rsid w:val="4BD27C7C"/>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0BC4"/>
    <w:rsid w:val="4CAC5935"/>
    <w:rsid w:val="4CAE0A1E"/>
    <w:rsid w:val="4CAE34C1"/>
    <w:rsid w:val="4CB65182"/>
    <w:rsid w:val="4CBC4853"/>
    <w:rsid w:val="4CBE7285"/>
    <w:rsid w:val="4CC325AA"/>
    <w:rsid w:val="4CC37E5E"/>
    <w:rsid w:val="4CC423AF"/>
    <w:rsid w:val="4CC44D6A"/>
    <w:rsid w:val="4CDB6135"/>
    <w:rsid w:val="4CDC7F47"/>
    <w:rsid w:val="4CE25680"/>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2312A"/>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46119"/>
    <w:rsid w:val="4DC77BEE"/>
    <w:rsid w:val="4DCC2553"/>
    <w:rsid w:val="4DCC25D9"/>
    <w:rsid w:val="4DD052D5"/>
    <w:rsid w:val="4DDD43EF"/>
    <w:rsid w:val="4DE01E78"/>
    <w:rsid w:val="4DE965A6"/>
    <w:rsid w:val="4DF50639"/>
    <w:rsid w:val="4DF666F0"/>
    <w:rsid w:val="4DFE0F00"/>
    <w:rsid w:val="4E040C51"/>
    <w:rsid w:val="4E07020E"/>
    <w:rsid w:val="4E076D4A"/>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66564"/>
    <w:rsid w:val="4EA73AB0"/>
    <w:rsid w:val="4EA84426"/>
    <w:rsid w:val="4EAB217A"/>
    <w:rsid w:val="4EB52137"/>
    <w:rsid w:val="4EB73E2F"/>
    <w:rsid w:val="4EBB65E7"/>
    <w:rsid w:val="4EBF2C53"/>
    <w:rsid w:val="4EC51408"/>
    <w:rsid w:val="4EC96A14"/>
    <w:rsid w:val="4ECA712B"/>
    <w:rsid w:val="4ECB6487"/>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2E277A"/>
    <w:rsid w:val="4F327290"/>
    <w:rsid w:val="4F3A1522"/>
    <w:rsid w:val="4F3A454E"/>
    <w:rsid w:val="4F3D2661"/>
    <w:rsid w:val="4F3E4567"/>
    <w:rsid w:val="4F40787D"/>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A408B"/>
    <w:rsid w:val="513D447B"/>
    <w:rsid w:val="513D4AA1"/>
    <w:rsid w:val="513E5DE2"/>
    <w:rsid w:val="513F74AF"/>
    <w:rsid w:val="51413DE5"/>
    <w:rsid w:val="5146189A"/>
    <w:rsid w:val="51562916"/>
    <w:rsid w:val="515B34F5"/>
    <w:rsid w:val="516261BC"/>
    <w:rsid w:val="51673972"/>
    <w:rsid w:val="516E156A"/>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13852"/>
    <w:rsid w:val="51E96BB5"/>
    <w:rsid w:val="51EF47CF"/>
    <w:rsid w:val="51FB18A2"/>
    <w:rsid w:val="51FF7286"/>
    <w:rsid w:val="5207265A"/>
    <w:rsid w:val="521153DD"/>
    <w:rsid w:val="521A6B40"/>
    <w:rsid w:val="521C7DEC"/>
    <w:rsid w:val="522231D7"/>
    <w:rsid w:val="52345124"/>
    <w:rsid w:val="523A44B9"/>
    <w:rsid w:val="523E191D"/>
    <w:rsid w:val="52424731"/>
    <w:rsid w:val="52427E0F"/>
    <w:rsid w:val="524679A7"/>
    <w:rsid w:val="525734FF"/>
    <w:rsid w:val="52574D1E"/>
    <w:rsid w:val="525922B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33BD3"/>
    <w:rsid w:val="53160530"/>
    <w:rsid w:val="53175A27"/>
    <w:rsid w:val="531A0591"/>
    <w:rsid w:val="531C47D1"/>
    <w:rsid w:val="531E6EA3"/>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25A76"/>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35AE2"/>
    <w:rsid w:val="540B324D"/>
    <w:rsid w:val="540B7A19"/>
    <w:rsid w:val="540D4DD6"/>
    <w:rsid w:val="540D6DFE"/>
    <w:rsid w:val="540F5609"/>
    <w:rsid w:val="541372BB"/>
    <w:rsid w:val="54145659"/>
    <w:rsid w:val="541F56D1"/>
    <w:rsid w:val="542748E5"/>
    <w:rsid w:val="54281C69"/>
    <w:rsid w:val="542B78EE"/>
    <w:rsid w:val="542D6443"/>
    <w:rsid w:val="54312135"/>
    <w:rsid w:val="5438255E"/>
    <w:rsid w:val="543A7B51"/>
    <w:rsid w:val="543B5B16"/>
    <w:rsid w:val="54431413"/>
    <w:rsid w:val="54467196"/>
    <w:rsid w:val="544D270A"/>
    <w:rsid w:val="544E5195"/>
    <w:rsid w:val="544E7341"/>
    <w:rsid w:val="54565AB3"/>
    <w:rsid w:val="54586E42"/>
    <w:rsid w:val="545D2C5D"/>
    <w:rsid w:val="545D7C1E"/>
    <w:rsid w:val="54661107"/>
    <w:rsid w:val="54672CD4"/>
    <w:rsid w:val="547312A9"/>
    <w:rsid w:val="547475CB"/>
    <w:rsid w:val="547A5E91"/>
    <w:rsid w:val="547C6DF6"/>
    <w:rsid w:val="548A4E03"/>
    <w:rsid w:val="548D073F"/>
    <w:rsid w:val="549046E8"/>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43132"/>
    <w:rsid w:val="54E95AD8"/>
    <w:rsid w:val="54F50FE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3E0963"/>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C6B7E"/>
    <w:rsid w:val="557E74E8"/>
    <w:rsid w:val="55803F7C"/>
    <w:rsid w:val="558434F4"/>
    <w:rsid w:val="5587719D"/>
    <w:rsid w:val="558E1C37"/>
    <w:rsid w:val="55903ECA"/>
    <w:rsid w:val="559264EF"/>
    <w:rsid w:val="55932EBA"/>
    <w:rsid w:val="5595422A"/>
    <w:rsid w:val="559661D7"/>
    <w:rsid w:val="55AE002D"/>
    <w:rsid w:val="55B66D2E"/>
    <w:rsid w:val="55BA46DC"/>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249DB"/>
    <w:rsid w:val="563C5D74"/>
    <w:rsid w:val="563D4E7F"/>
    <w:rsid w:val="56416CC2"/>
    <w:rsid w:val="56490EFC"/>
    <w:rsid w:val="564B4F7F"/>
    <w:rsid w:val="564E1154"/>
    <w:rsid w:val="565209A5"/>
    <w:rsid w:val="565F174D"/>
    <w:rsid w:val="565F55DF"/>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D29EE"/>
    <w:rsid w:val="57435BFB"/>
    <w:rsid w:val="57485D64"/>
    <w:rsid w:val="574B3B36"/>
    <w:rsid w:val="574C5C12"/>
    <w:rsid w:val="574E63EC"/>
    <w:rsid w:val="574E6981"/>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7B43C1"/>
    <w:rsid w:val="57807D67"/>
    <w:rsid w:val="57862B6B"/>
    <w:rsid w:val="57903B7D"/>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548AC"/>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55FE7"/>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275AD"/>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61524"/>
    <w:rsid w:val="59F74824"/>
    <w:rsid w:val="59F811A8"/>
    <w:rsid w:val="59FB230B"/>
    <w:rsid w:val="59FE3C34"/>
    <w:rsid w:val="5A02157D"/>
    <w:rsid w:val="5A0A31D0"/>
    <w:rsid w:val="5A1034D6"/>
    <w:rsid w:val="5A107ACF"/>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706BB"/>
    <w:rsid w:val="5B9C0BB9"/>
    <w:rsid w:val="5B9D2958"/>
    <w:rsid w:val="5BA4506F"/>
    <w:rsid w:val="5BAA1566"/>
    <w:rsid w:val="5BAB3CDE"/>
    <w:rsid w:val="5BAC5FEF"/>
    <w:rsid w:val="5BAC660D"/>
    <w:rsid w:val="5BAF1A2A"/>
    <w:rsid w:val="5BB90A97"/>
    <w:rsid w:val="5BC80573"/>
    <w:rsid w:val="5BC973B5"/>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17FE0"/>
    <w:rsid w:val="5C45707D"/>
    <w:rsid w:val="5C471B1A"/>
    <w:rsid w:val="5C4E5CA1"/>
    <w:rsid w:val="5C520C5D"/>
    <w:rsid w:val="5C52761C"/>
    <w:rsid w:val="5C5603E6"/>
    <w:rsid w:val="5C5773AF"/>
    <w:rsid w:val="5C652DBF"/>
    <w:rsid w:val="5C6D7E3F"/>
    <w:rsid w:val="5C6E6CFA"/>
    <w:rsid w:val="5C7250FC"/>
    <w:rsid w:val="5C766449"/>
    <w:rsid w:val="5C7D755A"/>
    <w:rsid w:val="5C842CDC"/>
    <w:rsid w:val="5C880935"/>
    <w:rsid w:val="5C8910A1"/>
    <w:rsid w:val="5C8E4CB9"/>
    <w:rsid w:val="5C915347"/>
    <w:rsid w:val="5C9223C5"/>
    <w:rsid w:val="5CB34991"/>
    <w:rsid w:val="5CB70F5B"/>
    <w:rsid w:val="5CBE6A7F"/>
    <w:rsid w:val="5CC03AD8"/>
    <w:rsid w:val="5CC13B5F"/>
    <w:rsid w:val="5CC350B6"/>
    <w:rsid w:val="5CC37205"/>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32E9"/>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A6BAC"/>
    <w:rsid w:val="5D7F4B1E"/>
    <w:rsid w:val="5D7F56CB"/>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DB44B8"/>
    <w:rsid w:val="5DE2734E"/>
    <w:rsid w:val="5DE444C7"/>
    <w:rsid w:val="5DE449D7"/>
    <w:rsid w:val="5DE44E7A"/>
    <w:rsid w:val="5DF21D39"/>
    <w:rsid w:val="5DF2566B"/>
    <w:rsid w:val="5DF26221"/>
    <w:rsid w:val="5DF27979"/>
    <w:rsid w:val="5DF91362"/>
    <w:rsid w:val="5DF966B0"/>
    <w:rsid w:val="5DFF0CC5"/>
    <w:rsid w:val="5E017F3D"/>
    <w:rsid w:val="5E041722"/>
    <w:rsid w:val="5E0E517D"/>
    <w:rsid w:val="5E124791"/>
    <w:rsid w:val="5E167528"/>
    <w:rsid w:val="5E183AB4"/>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10DD7"/>
    <w:rsid w:val="5EF53E3A"/>
    <w:rsid w:val="5EF96054"/>
    <w:rsid w:val="5F014219"/>
    <w:rsid w:val="5F016459"/>
    <w:rsid w:val="5F025A60"/>
    <w:rsid w:val="5F033611"/>
    <w:rsid w:val="5F051098"/>
    <w:rsid w:val="5F051F6F"/>
    <w:rsid w:val="5F0538D5"/>
    <w:rsid w:val="5F074075"/>
    <w:rsid w:val="5F0B74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53448"/>
    <w:rsid w:val="5FD91C36"/>
    <w:rsid w:val="5FE43613"/>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02BF"/>
    <w:rsid w:val="606D2ECB"/>
    <w:rsid w:val="60732D14"/>
    <w:rsid w:val="607524D0"/>
    <w:rsid w:val="60770311"/>
    <w:rsid w:val="60790820"/>
    <w:rsid w:val="607D133A"/>
    <w:rsid w:val="60873830"/>
    <w:rsid w:val="608A0928"/>
    <w:rsid w:val="608C48FA"/>
    <w:rsid w:val="608C7C9B"/>
    <w:rsid w:val="608D00EE"/>
    <w:rsid w:val="60934A43"/>
    <w:rsid w:val="609457A2"/>
    <w:rsid w:val="609542E0"/>
    <w:rsid w:val="609F5B2C"/>
    <w:rsid w:val="60A759FE"/>
    <w:rsid w:val="60B17E63"/>
    <w:rsid w:val="60B40EFB"/>
    <w:rsid w:val="60B42DEF"/>
    <w:rsid w:val="60BA1CFD"/>
    <w:rsid w:val="60BA3688"/>
    <w:rsid w:val="60BE3A10"/>
    <w:rsid w:val="60BE7F1C"/>
    <w:rsid w:val="60C00D53"/>
    <w:rsid w:val="60C41F6D"/>
    <w:rsid w:val="60C66A6E"/>
    <w:rsid w:val="60D12656"/>
    <w:rsid w:val="60D44DA5"/>
    <w:rsid w:val="60D839FF"/>
    <w:rsid w:val="60DB5344"/>
    <w:rsid w:val="60DB6AD7"/>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8E2EEF"/>
    <w:rsid w:val="61937195"/>
    <w:rsid w:val="61944E4E"/>
    <w:rsid w:val="61972B79"/>
    <w:rsid w:val="619872D1"/>
    <w:rsid w:val="619F7215"/>
    <w:rsid w:val="61A24E9C"/>
    <w:rsid w:val="61A95324"/>
    <w:rsid w:val="61AA2B1C"/>
    <w:rsid w:val="61B02285"/>
    <w:rsid w:val="61BB7507"/>
    <w:rsid w:val="61BD0FD1"/>
    <w:rsid w:val="61C63667"/>
    <w:rsid w:val="61CA1D42"/>
    <w:rsid w:val="61D033C7"/>
    <w:rsid w:val="61D17660"/>
    <w:rsid w:val="61D2628F"/>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E4340"/>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E767C"/>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050F58"/>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61D33"/>
    <w:rsid w:val="63987080"/>
    <w:rsid w:val="639B5A3B"/>
    <w:rsid w:val="63A6248F"/>
    <w:rsid w:val="63A90182"/>
    <w:rsid w:val="63AB1B48"/>
    <w:rsid w:val="63B06214"/>
    <w:rsid w:val="63B201BE"/>
    <w:rsid w:val="63B64055"/>
    <w:rsid w:val="63B85325"/>
    <w:rsid w:val="63BA23E8"/>
    <w:rsid w:val="63BB1F3E"/>
    <w:rsid w:val="63C7120D"/>
    <w:rsid w:val="63C9133A"/>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B7FBE"/>
    <w:rsid w:val="644D7682"/>
    <w:rsid w:val="644E6CB6"/>
    <w:rsid w:val="64525DD3"/>
    <w:rsid w:val="64535672"/>
    <w:rsid w:val="64574EB1"/>
    <w:rsid w:val="6465437C"/>
    <w:rsid w:val="64686A65"/>
    <w:rsid w:val="646B3F3E"/>
    <w:rsid w:val="646D1CD3"/>
    <w:rsid w:val="6476698F"/>
    <w:rsid w:val="647B6BF9"/>
    <w:rsid w:val="647D6981"/>
    <w:rsid w:val="647E5324"/>
    <w:rsid w:val="64827BE0"/>
    <w:rsid w:val="649253FB"/>
    <w:rsid w:val="64935771"/>
    <w:rsid w:val="64961FD3"/>
    <w:rsid w:val="64991BDE"/>
    <w:rsid w:val="649C4479"/>
    <w:rsid w:val="64A31E2F"/>
    <w:rsid w:val="64A32EFE"/>
    <w:rsid w:val="64A55437"/>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B0FE5"/>
    <w:rsid w:val="655E2E69"/>
    <w:rsid w:val="65620CDF"/>
    <w:rsid w:val="656763D3"/>
    <w:rsid w:val="656A2B47"/>
    <w:rsid w:val="656E5FF8"/>
    <w:rsid w:val="65755AA9"/>
    <w:rsid w:val="657701D4"/>
    <w:rsid w:val="657763D1"/>
    <w:rsid w:val="6577679C"/>
    <w:rsid w:val="65807AD8"/>
    <w:rsid w:val="65822FE0"/>
    <w:rsid w:val="65886C99"/>
    <w:rsid w:val="658B3278"/>
    <w:rsid w:val="6597402F"/>
    <w:rsid w:val="659B3091"/>
    <w:rsid w:val="659F1B33"/>
    <w:rsid w:val="65A16EE2"/>
    <w:rsid w:val="65AA2639"/>
    <w:rsid w:val="65AE1917"/>
    <w:rsid w:val="65B05F69"/>
    <w:rsid w:val="65B33093"/>
    <w:rsid w:val="65B455FE"/>
    <w:rsid w:val="65BC78B0"/>
    <w:rsid w:val="65C11EF0"/>
    <w:rsid w:val="65C560F4"/>
    <w:rsid w:val="65CA2BB7"/>
    <w:rsid w:val="65CC71A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4315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44A80"/>
    <w:rsid w:val="670E396A"/>
    <w:rsid w:val="671B08CF"/>
    <w:rsid w:val="67206181"/>
    <w:rsid w:val="67243A92"/>
    <w:rsid w:val="67333E25"/>
    <w:rsid w:val="6737473D"/>
    <w:rsid w:val="673F566D"/>
    <w:rsid w:val="674347A2"/>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1E31C9"/>
    <w:rsid w:val="68206C4A"/>
    <w:rsid w:val="68223ABA"/>
    <w:rsid w:val="68252F30"/>
    <w:rsid w:val="68286989"/>
    <w:rsid w:val="682B4F65"/>
    <w:rsid w:val="68341E4D"/>
    <w:rsid w:val="6835107C"/>
    <w:rsid w:val="683A75EF"/>
    <w:rsid w:val="683B7588"/>
    <w:rsid w:val="68434890"/>
    <w:rsid w:val="684371F1"/>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44E11"/>
    <w:rsid w:val="689659D5"/>
    <w:rsid w:val="68975DFE"/>
    <w:rsid w:val="6899632D"/>
    <w:rsid w:val="689C1173"/>
    <w:rsid w:val="689D30E4"/>
    <w:rsid w:val="689F3DA8"/>
    <w:rsid w:val="68A176D0"/>
    <w:rsid w:val="68AF2BBF"/>
    <w:rsid w:val="68B401AC"/>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0D22DB"/>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9144B"/>
    <w:rsid w:val="698B055C"/>
    <w:rsid w:val="698D2BCC"/>
    <w:rsid w:val="69916DDF"/>
    <w:rsid w:val="69962800"/>
    <w:rsid w:val="6997318E"/>
    <w:rsid w:val="6997663E"/>
    <w:rsid w:val="69A61AA0"/>
    <w:rsid w:val="69A6211B"/>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D61C0"/>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96E29"/>
    <w:rsid w:val="6A6A5B24"/>
    <w:rsid w:val="6A722D01"/>
    <w:rsid w:val="6A7B5C4E"/>
    <w:rsid w:val="6A7E3F26"/>
    <w:rsid w:val="6A842F61"/>
    <w:rsid w:val="6A8A6E92"/>
    <w:rsid w:val="6A8C028A"/>
    <w:rsid w:val="6A8F5B50"/>
    <w:rsid w:val="6A904CE3"/>
    <w:rsid w:val="6A984426"/>
    <w:rsid w:val="6A9E2C63"/>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B5F09"/>
    <w:rsid w:val="6B7F2048"/>
    <w:rsid w:val="6B832B21"/>
    <w:rsid w:val="6B867E5C"/>
    <w:rsid w:val="6B88607A"/>
    <w:rsid w:val="6B9150FF"/>
    <w:rsid w:val="6B946BF3"/>
    <w:rsid w:val="6BA2350F"/>
    <w:rsid w:val="6BA31178"/>
    <w:rsid w:val="6BB2108D"/>
    <w:rsid w:val="6BBA4ECD"/>
    <w:rsid w:val="6BC2708D"/>
    <w:rsid w:val="6BD1743B"/>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26449"/>
    <w:rsid w:val="6C644D2B"/>
    <w:rsid w:val="6C64649D"/>
    <w:rsid w:val="6C666A63"/>
    <w:rsid w:val="6C6850CD"/>
    <w:rsid w:val="6C694713"/>
    <w:rsid w:val="6C6B45D6"/>
    <w:rsid w:val="6C6D770A"/>
    <w:rsid w:val="6C700C30"/>
    <w:rsid w:val="6C70219B"/>
    <w:rsid w:val="6C77383B"/>
    <w:rsid w:val="6C7A3A61"/>
    <w:rsid w:val="6C7B3165"/>
    <w:rsid w:val="6C822075"/>
    <w:rsid w:val="6C836C48"/>
    <w:rsid w:val="6C8703A1"/>
    <w:rsid w:val="6C874DF7"/>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019CC"/>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93D66"/>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03BAF"/>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05BF7"/>
    <w:rsid w:val="6E617CA9"/>
    <w:rsid w:val="6E6C32CD"/>
    <w:rsid w:val="6E6F4755"/>
    <w:rsid w:val="6E737B36"/>
    <w:rsid w:val="6E7409D9"/>
    <w:rsid w:val="6E77033D"/>
    <w:rsid w:val="6E7C4E3C"/>
    <w:rsid w:val="6E865687"/>
    <w:rsid w:val="6E903A92"/>
    <w:rsid w:val="6E912F38"/>
    <w:rsid w:val="6E921DA1"/>
    <w:rsid w:val="6E940B04"/>
    <w:rsid w:val="6E965300"/>
    <w:rsid w:val="6EA31733"/>
    <w:rsid w:val="6EA46912"/>
    <w:rsid w:val="6EA51B9F"/>
    <w:rsid w:val="6EA636C4"/>
    <w:rsid w:val="6EA63752"/>
    <w:rsid w:val="6EA64819"/>
    <w:rsid w:val="6EA84C2B"/>
    <w:rsid w:val="6EAA489F"/>
    <w:rsid w:val="6EAB3BE1"/>
    <w:rsid w:val="6EAB5A16"/>
    <w:rsid w:val="6EB40256"/>
    <w:rsid w:val="6EC153B6"/>
    <w:rsid w:val="6EC47C33"/>
    <w:rsid w:val="6EC65E9A"/>
    <w:rsid w:val="6ECC5165"/>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54460"/>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265BA"/>
    <w:rsid w:val="6F9B34F3"/>
    <w:rsid w:val="6FA274A1"/>
    <w:rsid w:val="6FA32C4E"/>
    <w:rsid w:val="6FA742BB"/>
    <w:rsid w:val="6FAB7699"/>
    <w:rsid w:val="6FAE711A"/>
    <w:rsid w:val="6FB628CA"/>
    <w:rsid w:val="6FBA64CE"/>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71BFB"/>
    <w:rsid w:val="70490D6C"/>
    <w:rsid w:val="70691205"/>
    <w:rsid w:val="706B38CF"/>
    <w:rsid w:val="706B49E5"/>
    <w:rsid w:val="706F6FD3"/>
    <w:rsid w:val="70704FB3"/>
    <w:rsid w:val="707118E2"/>
    <w:rsid w:val="707B7148"/>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27AC"/>
    <w:rsid w:val="70D818F2"/>
    <w:rsid w:val="70DA531B"/>
    <w:rsid w:val="70DF1BD2"/>
    <w:rsid w:val="70E02074"/>
    <w:rsid w:val="70E6311C"/>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B0DF4"/>
    <w:rsid w:val="714D267F"/>
    <w:rsid w:val="71507CEF"/>
    <w:rsid w:val="71524583"/>
    <w:rsid w:val="715455B3"/>
    <w:rsid w:val="71553813"/>
    <w:rsid w:val="715B17FA"/>
    <w:rsid w:val="715C70D7"/>
    <w:rsid w:val="715D21A1"/>
    <w:rsid w:val="715D4E0B"/>
    <w:rsid w:val="715E557A"/>
    <w:rsid w:val="715F1F9A"/>
    <w:rsid w:val="71690217"/>
    <w:rsid w:val="716A46B9"/>
    <w:rsid w:val="71763AF0"/>
    <w:rsid w:val="717801A9"/>
    <w:rsid w:val="717F36DE"/>
    <w:rsid w:val="718778F2"/>
    <w:rsid w:val="71892B0B"/>
    <w:rsid w:val="71900F77"/>
    <w:rsid w:val="719164BB"/>
    <w:rsid w:val="719F26B9"/>
    <w:rsid w:val="719F30CC"/>
    <w:rsid w:val="71A108F8"/>
    <w:rsid w:val="71A13ADE"/>
    <w:rsid w:val="71A213C4"/>
    <w:rsid w:val="71A46691"/>
    <w:rsid w:val="71A52E27"/>
    <w:rsid w:val="71AA3D22"/>
    <w:rsid w:val="71AD0E11"/>
    <w:rsid w:val="71B033EE"/>
    <w:rsid w:val="71B31E21"/>
    <w:rsid w:val="71B4585C"/>
    <w:rsid w:val="71B6762B"/>
    <w:rsid w:val="71C305B7"/>
    <w:rsid w:val="71C53AE0"/>
    <w:rsid w:val="71C747CA"/>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E0430"/>
    <w:rsid w:val="723F77B4"/>
    <w:rsid w:val="724B515A"/>
    <w:rsid w:val="72535D9A"/>
    <w:rsid w:val="72560059"/>
    <w:rsid w:val="72615664"/>
    <w:rsid w:val="7267764A"/>
    <w:rsid w:val="726B0E05"/>
    <w:rsid w:val="726D0FA4"/>
    <w:rsid w:val="72716FCE"/>
    <w:rsid w:val="727471EC"/>
    <w:rsid w:val="727505FF"/>
    <w:rsid w:val="727524C5"/>
    <w:rsid w:val="727A2878"/>
    <w:rsid w:val="727A6D98"/>
    <w:rsid w:val="727A7D1A"/>
    <w:rsid w:val="727B4290"/>
    <w:rsid w:val="727B614E"/>
    <w:rsid w:val="72820589"/>
    <w:rsid w:val="72875F01"/>
    <w:rsid w:val="728762FF"/>
    <w:rsid w:val="729732E1"/>
    <w:rsid w:val="729807B0"/>
    <w:rsid w:val="72AA6923"/>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DE3857"/>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7F750E"/>
    <w:rsid w:val="73967A00"/>
    <w:rsid w:val="739C30BC"/>
    <w:rsid w:val="73A44B88"/>
    <w:rsid w:val="73AC4F2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3D7F6D"/>
    <w:rsid w:val="74410C1E"/>
    <w:rsid w:val="744810E9"/>
    <w:rsid w:val="74525205"/>
    <w:rsid w:val="74534D75"/>
    <w:rsid w:val="745471DF"/>
    <w:rsid w:val="7459504E"/>
    <w:rsid w:val="745D77C8"/>
    <w:rsid w:val="74621861"/>
    <w:rsid w:val="74663D42"/>
    <w:rsid w:val="74697D0A"/>
    <w:rsid w:val="746A392E"/>
    <w:rsid w:val="746D50DA"/>
    <w:rsid w:val="746F7244"/>
    <w:rsid w:val="7471001B"/>
    <w:rsid w:val="74716A08"/>
    <w:rsid w:val="74751406"/>
    <w:rsid w:val="747A6F58"/>
    <w:rsid w:val="747B7F4A"/>
    <w:rsid w:val="747C4DE9"/>
    <w:rsid w:val="74806D03"/>
    <w:rsid w:val="74813EEA"/>
    <w:rsid w:val="74886C9D"/>
    <w:rsid w:val="748D4CA1"/>
    <w:rsid w:val="748E40CB"/>
    <w:rsid w:val="74902902"/>
    <w:rsid w:val="74905AB6"/>
    <w:rsid w:val="749A353B"/>
    <w:rsid w:val="749E3A5B"/>
    <w:rsid w:val="74A23B17"/>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A58C7"/>
    <w:rsid w:val="757B2CAA"/>
    <w:rsid w:val="75802CAB"/>
    <w:rsid w:val="75843FF7"/>
    <w:rsid w:val="758A57AA"/>
    <w:rsid w:val="758B2A69"/>
    <w:rsid w:val="758B5810"/>
    <w:rsid w:val="758D6FEA"/>
    <w:rsid w:val="7590720B"/>
    <w:rsid w:val="759219B1"/>
    <w:rsid w:val="75A63C72"/>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3317E"/>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E5EA7"/>
    <w:rsid w:val="76CF40F0"/>
    <w:rsid w:val="76D2560C"/>
    <w:rsid w:val="76D63596"/>
    <w:rsid w:val="76D65BBC"/>
    <w:rsid w:val="76D823FA"/>
    <w:rsid w:val="76D84669"/>
    <w:rsid w:val="76DA0CCD"/>
    <w:rsid w:val="76DC2799"/>
    <w:rsid w:val="76DD7AF3"/>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2F6E42"/>
    <w:rsid w:val="7734235A"/>
    <w:rsid w:val="773C613C"/>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A6405"/>
    <w:rsid w:val="778C3CA6"/>
    <w:rsid w:val="778F33CE"/>
    <w:rsid w:val="779232E0"/>
    <w:rsid w:val="77931EFF"/>
    <w:rsid w:val="779F47B2"/>
    <w:rsid w:val="77A50807"/>
    <w:rsid w:val="77AF421C"/>
    <w:rsid w:val="77B16742"/>
    <w:rsid w:val="77B36B5D"/>
    <w:rsid w:val="77B61118"/>
    <w:rsid w:val="77B75A06"/>
    <w:rsid w:val="77B81847"/>
    <w:rsid w:val="77C0217C"/>
    <w:rsid w:val="77C559FA"/>
    <w:rsid w:val="77C73C66"/>
    <w:rsid w:val="77CC6CB8"/>
    <w:rsid w:val="77D0780A"/>
    <w:rsid w:val="77D72EC0"/>
    <w:rsid w:val="77E1742C"/>
    <w:rsid w:val="77E17891"/>
    <w:rsid w:val="77E33365"/>
    <w:rsid w:val="77E4323F"/>
    <w:rsid w:val="77E55DE5"/>
    <w:rsid w:val="77EA424F"/>
    <w:rsid w:val="77EB7988"/>
    <w:rsid w:val="77EB7ABC"/>
    <w:rsid w:val="77ED0B13"/>
    <w:rsid w:val="77F242E3"/>
    <w:rsid w:val="77F72CC4"/>
    <w:rsid w:val="77F954C1"/>
    <w:rsid w:val="780158ED"/>
    <w:rsid w:val="780318F4"/>
    <w:rsid w:val="780543E8"/>
    <w:rsid w:val="78062B22"/>
    <w:rsid w:val="780C33BF"/>
    <w:rsid w:val="780D0E2D"/>
    <w:rsid w:val="780D7B95"/>
    <w:rsid w:val="780F159E"/>
    <w:rsid w:val="780F636C"/>
    <w:rsid w:val="78124B18"/>
    <w:rsid w:val="781B23FC"/>
    <w:rsid w:val="781C5622"/>
    <w:rsid w:val="782277E5"/>
    <w:rsid w:val="784059E3"/>
    <w:rsid w:val="784329E1"/>
    <w:rsid w:val="784451CB"/>
    <w:rsid w:val="785A3795"/>
    <w:rsid w:val="785D3AC6"/>
    <w:rsid w:val="7866580D"/>
    <w:rsid w:val="786977C6"/>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A2DD2"/>
    <w:rsid w:val="78AB1B85"/>
    <w:rsid w:val="78B572CD"/>
    <w:rsid w:val="78BB450B"/>
    <w:rsid w:val="78C54E82"/>
    <w:rsid w:val="78C60EA4"/>
    <w:rsid w:val="78C60ED3"/>
    <w:rsid w:val="78C6582A"/>
    <w:rsid w:val="78C709C2"/>
    <w:rsid w:val="78CB6B70"/>
    <w:rsid w:val="78D23B7E"/>
    <w:rsid w:val="78E10719"/>
    <w:rsid w:val="78F14E36"/>
    <w:rsid w:val="78F70B10"/>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5C5E02"/>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44C68"/>
    <w:rsid w:val="79B530ED"/>
    <w:rsid w:val="79B827E4"/>
    <w:rsid w:val="79B8596D"/>
    <w:rsid w:val="79BF6579"/>
    <w:rsid w:val="79C06021"/>
    <w:rsid w:val="79C07795"/>
    <w:rsid w:val="79C27365"/>
    <w:rsid w:val="79C44CCA"/>
    <w:rsid w:val="79CA0CAB"/>
    <w:rsid w:val="79D04381"/>
    <w:rsid w:val="79D2238A"/>
    <w:rsid w:val="79D93320"/>
    <w:rsid w:val="79DC79C2"/>
    <w:rsid w:val="79E13F82"/>
    <w:rsid w:val="79E17612"/>
    <w:rsid w:val="79E75062"/>
    <w:rsid w:val="79E979BB"/>
    <w:rsid w:val="79EA0223"/>
    <w:rsid w:val="79F4787F"/>
    <w:rsid w:val="79F73FC2"/>
    <w:rsid w:val="79FA136D"/>
    <w:rsid w:val="79FB7F04"/>
    <w:rsid w:val="79FD3BCB"/>
    <w:rsid w:val="7A040D63"/>
    <w:rsid w:val="7A05786A"/>
    <w:rsid w:val="7A077C9E"/>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CC3641"/>
    <w:rsid w:val="7AD75598"/>
    <w:rsid w:val="7ADA08CB"/>
    <w:rsid w:val="7ADE7D20"/>
    <w:rsid w:val="7AE16BF9"/>
    <w:rsid w:val="7AE6530E"/>
    <w:rsid w:val="7AEB6C00"/>
    <w:rsid w:val="7AEF0262"/>
    <w:rsid w:val="7AF70369"/>
    <w:rsid w:val="7B0A1118"/>
    <w:rsid w:val="7B111DBF"/>
    <w:rsid w:val="7B1846E5"/>
    <w:rsid w:val="7B1C2184"/>
    <w:rsid w:val="7B2220D1"/>
    <w:rsid w:val="7B2B2FA5"/>
    <w:rsid w:val="7B2D37CA"/>
    <w:rsid w:val="7B5263BB"/>
    <w:rsid w:val="7B550E00"/>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965DFF"/>
    <w:rsid w:val="7BB31BAD"/>
    <w:rsid w:val="7BBA5E12"/>
    <w:rsid w:val="7BBD0D0E"/>
    <w:rsid w:val="7BC52D01"/>
    <w:rsid w:val="7BC754A2"/>
    <w:rsid w:val="7BC94242"/>
    <w:rsid w:val="7BCB522F"/>
    <w:rsid w:val="7BD20703"/>
    <w:rsid w:val="7BD94BA0"/>
    <w:rsid w:val="7BDD3912"/>
    <w:rsid w:val="7BE10250"/>
    <w:rsid w:val="7BE51920"/>
    <w:rsid w:val="7BE61CBD"/>
    <w:rsid w:val="7BEC5AB6"/>
    <w:rsid w:val="7BEE02B3"/>
    <w:rsid w:val="7BEE1215"/>
    <w:rsid w:val="7BF47ED6"/>
    <w:rsid w:val="7BF54F0F"/>
    <w:rsid w:val="7BFF3261"/>
    <w:rsid w:val="7C013AFE"/>
    <w:rsid w:val="7C1402F2"/>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629FE"/>
    <w:rsid w:val="7CB96AEA"/>
    <w:rsid w:val="7CBB448F"/>
    <w:rsid w:val="7CBD10D4"/>
    <w:rsid w:val="7CC457FD"/>
    <w:rsid w:val="7CC47E43"/>
    <w:rsid w:val="7CC73521"/>
    <w:rsid w:val="7CCC1769"/>
    <w:rsid w:val="7CCE2A27"/>
    <w:rsid w:val="7CD3028D"/>
    <w:rsid w:val="7CD90778"/>
    <w:rsid w:val="7CDA3374"/>
    <w:rsid w:val="7CDC79B2"/>
    <w:rsid w:val="7CE171C5"/>
    <w:rsid w:val="7CE674A1"/>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3D7C85"/>
    <w:rsid w:val="7D4829CE"/>
    <w:rsid w:val="7D4B4641"/>
    <w:rsid w:val="7D4B771B"/>
    <w:rsid w:val="7D4D4279"/>
    <w:rsid w:val="7D4E1245"/>
    <w:rsid w:val="7D566E36"/>
    <w:rsid w:val="7D59513D"/>
    <w:rsid w:val="7D5A5E01"/>
    <w:rsid w:val="7D5F1874"/>
    <w:rsid w:val="7D5F3152"/>
    <w:rsid w:val="7D603623"/>
    <w:rsid w:val="7D6579C4"/>
    <w:rsid w:val="7D6C3864"/>
    <w:rsid w:val="7D6E269B"/>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94A41"/>
    <w:rsid w:val="7DDD1297"/>
    <w:rsid w:val="7DE027A9"/>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670D2"/>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07E92"/>
    <w:rsid w:val="7E7225C8"/>
    <w:rsid w:val="7E7D14C2"/>
    <w:rsid w:val="7E807CD3"/>
    <w:rsid w:val="7E81776E"/>
    <w:rsid w:val="7E827AA6"/>
    <w:rsid w:val="7E8A3193"/>
    <w:rsid w:val="7E8B5F9F"/>
    <w:rsid w:val="7E8C54A3"/>
    <w:rsid w:val="7E8C6F7B"/>
    <w:rsid w:val="7E8F378A"/>
    <w:rsid w:val="7E9056A4"/>
    <w:rsid w:val="7E964E64"/>
    <w:rsid w:val="7EA24829"/>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040A4"/>
    <w:rsid w:val="7EF230CD"/>
    <w:rsid w:val="7EF47B20"/>
    <w:rsid w:val="7EF81CCE"/>
    <w:rsid w:val="7F04131E"/>
    <w:rsid w:val="7F0F2694"/>
    <w:rsid w:val="7F1535FF"/>
    <w:rsid w:val="7F193139"/>
    <w:rsid w:val="7F1C57DA"/>
    <w:rsid w:val="7F1E7BBB"/>
    <w:rsid w:val="7F2E4452"/>
    <w:rsid w:val="7F3277A1"/>
    <w:rsid w:val="7F3562ED"/>
    <w:rsid w:val="7F3B3101"/>
    <w:rsid w:val="7F3B4E97"/>
    <w:rsid w:val="7F3D45CB"/>
    <w:rsid w:val="7F3D5899"/>
    <w:rsid w:val="7F405053"/>
    <w:rsid w:val="7F425F57"/>
    <w:rsid w:val="7F4D6F55"/>
    <w:rsid w:val="7F4E339D"/>
    <w:rsid w:val="7F5410D4"/>
    <w:rsid w:val="7F590744"/>
    <w:rsid w:val="7F5912B6"/>
    <w:rsid w:val="7F591C40"/>
    <w:rsid w:val="7F5B0D15"/>
    <w:rsid w:val="7F5E14A3"/>
    <w:rsid w:val="7F6767D5"/>
    <w:rsid w:val="7F6A137F"/>
    <w:rsid w:val="7F6B1D1D"/>
    <w:rsid w:val="7F6D2F51"/>
    <w:rsid w:val="7F6F052D"/>
    <w:rsid w:val="7F6F259F"/>
    <w:rsid w:val="7F780840"/>
    <w:rsid w:val="7F7B0C04"/>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3</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2021-05-11T12:41:47Z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